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jc w:val="both"/>
        <w:rPr>
          <w:rFonts w:ascii="Arial" w:hAnsi="Arial" w:cs="Arial"/>
        </w:rPr>
      </w:pPr>
      <w:bookmarkStart w:id="0" w:name="OLE_LINK24"/>
      <w:bookmarkStart w:id="1" w:name="OLE_LINK33"/>
      <w:bookmarkStart w:id="2" w:name="OLE_LINK34"/>
      <w:bookmarkStart w:id="3" w:name="OLE_LINK12"/>
      <w:bookmarkStart w:id="4" w:name="OLE_LINK13"/>
      <w:r>
        <w:rPr>
          <w:rFonts w:ascii="Arial" w:hAnsi="Arial" w:cs="Arial"/>
          <w:b/>
        </w:rPr>
        <w:t>3GPP TSG RAN WG1 #109-e                                               R1-22</w:t>
      </w:r>
      <w:r>
        <w:rPr>
          <w:rFonts w:hint="eastAsia" w:ascii="Arial" w:hAnsi="Arial" w:cs="Arial"/>
          <w:b/>
        </w:rPr>
        <w:t>03627</w:t>
      </w:r>
    </w:p>
    <w:p>
      <w:pPr>
        <w:tabs>
          <w:tab w:val="center" w:pos="4536"/>
          <w:tab w:val="right" w:pos="8280"/>
          <w:tab w:val="right" w:pos="9639"/>
        </w:tabs>
        <w:snapToGrid w:val="0"/>
        <w:spacing w:after="0" w:line="240" w:lineRule="auto"/>
        <w:ind w:left="442" w:right="2" w:hanging="442" w:hangingChars="200"/>
        <w:jc w:val="both"/>
        <w:rPr>
          <w:rFonts w:ascii="Arial" w:hAnsi="Arial" w:cs="Arial"/>
          <w:b/>
        </w:rPr>
      </w:pPr>
      <w:r>
        <w:rPr>
          <w:rFonts w:ascii="Arial" w:hAnsi="Arial" w:cs="Arial"/>
          <w:b/>
        </w:rPr>
        <w:t>e-Meeting, May 9</w:t>
      </w:r>
      <w:r>
        <w:rPr>
          <w:rFonts w:ascii="Arial" w:hAnsi="Arial" w:cs="Arial"/>
          <w:b/>
          <w:vertAlign w:val="superscript"/>
        </w:rPr>
        <w:t>th</w:t>
      </w:r>
      <w:r>
        <w:rPr>
          <w:rFonts w:ascii="Arial" w:hAnsi="Arial" w:cs="Arial"/>
          <w:b/>
        </w:rPr>
        <w:t xml:space="preserve"> – 20</w:t>
      </w:r>
      <w:r>
        <w:rPr>
          <w:rFonts w:ascii="Arial" w:hAnsi="Arial" w:cs="Arial"/>
          <w:b/>
          <w:vertAlign w:val="superscript"/>
        </w:rPr>
        <w:t>th</w:t>
      </w:r>
      <w:r>
        <w:rPr>
          <w:rFonts w:ascii="Arial" w:hAnsi="Arial" w:cs="Arial"/>
          <w:b/>
        </w:rPr>
        <w:t>, 2022</w:t>
      </w: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p>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Source:         ZTE</w:t>
      </w:r>
    </w:p>
    <w:p>
      <w:pPr>
        <w:tabs>
          <w:tab w:val="center" w:pos="4536"/>
          <w:tab w:val="right" w:pos="8280"/>
          <w:tab w:val="right" w:pos="9639"/>
        </w:tabs>
        <w:snapToGrid w:val="0"/>
        <w:spacing w:after="0" w:line="240" w:lineRule="auto"/>
        <w:ind w:left="1988" w:right="2" w:hanging="1988" w:hangingChars="900"/>
        <w:jc w:val="both"/>
        <w:rPr>
          <w:rFonts w:ascii="Arial" w:hAnsi="Arial" w:eastAsia="宋体" w:cs="Arial"/>
          <w:b/>
        </w:rPr>
      </w:pPr>
      <w:r>
        <w:rPr>
          <w:rFonts w:ascii="Arial" w:hAnsi="Arial" w:eastAsia="宋体" w:cs="Arial"/>
          <w:b/>
        </w:rPr>
        <w:t xml:space="preserve">Title:            </w:t>
      </w:r>
      <w:r>
        <w:rPr>
          <w:rFonts w:hint="eastAsia" w:ascii="Arial" w:hAnsi="Arial" w:eastAsia="宋体" w:cs="Arial"/>
          <w:b/>
        </w:rPr>
        <w:t>Discussion</w:t>
      </w:r>
      <w:r>
        <w:rPr>
          <w:rFonts w:ascii="Arial" w:hAnsi="Arial" w:eastAsia="宋体" w:cs="Arial"/>
          <w:b/>
        </w:rPr>
        <w:t xml:space="preserve"> on </w:t>
      </w:r>
      <w:r>
        <w:rPr>
          <w:rFonts w:hint="eastAsia" w:ascii="Arial" w:hAnsi="Arial" w:eastAsia="宋体" w:cs="Arial"/>
          <w:b/>
        </w:rPr>
        <w:t>low power high accuracy positioning(LPHAP)</w:t>
      </w:r>
    </w:p>
    <w:bookmarkEnd w:id="0"/>
    <w:p>
      <w:pPr>
        <w:tabs>
          <w:tab w:val="center" w:pos="4536"/>
          <w:tab w:val="right" w:pos="8280"/>
          <w:tab w:val="right" w:pos="9639"/>
        </w:tabs>
        <w:snapToGrid w:val="0"/>
        <w:spacing w:after="0" w:line="240" w:lineRule="auto"/>
        <w:ind w:left="442" w:right="2" w:hanging="442" w:hangingChars="200"/>
        <w:jc w:val="both"/>
        <w:rPr>
          <w:rFonts w:ascii="Arial" w:hAnsi="Arial" w:eastAsia="宋体" w:cs="Arial"/>
          <w:b/>
        </w:rPr>
      </w:pPr>
      <w:r>
        <w:rPr>
          <w:rFonts w:ascii="Arial" w:hAnsi="Arial" w:eastAsia="宋体" w:cs="Arial"/>
          <w:b/>
        </w:rPr>
        <w:t>Agenda item:    9.</w:t>
      </w:r>
      <w:r>
        <w:rPr>
          <w:rFonts w:hint="eastAsia" w:ascii="Arial" w:hAnsi="Arial" w:eastAsia="宋体" w:cs="Arial"/>
          <w:b/>
        </w:rPr>
        <w:t>5.2.3</w:t>
      </w:r>
      <w:r>
        <w:rPr>
          <w:rFonts w:ascii="Arial" w:hAnsi="Arial" w:eastAsia="宋体" w:cs="Arial"/>
          <w:b/>
        </w:rPr>
        <w:t xml:space="preserve"> </w:t>
      </w:r>
    </w:p>
    <w:bookmarkEnd w:id="1"/>
    <w:bookmarkEnd w:id="2"/>
    <w:bookmarkEnd w:id="3"/>
    <w:bookmarkEnd w:id="4"/>
    <w:p>
      <w:pPr>
        <w:pBdr>
          <w:bottom w:val="single" w:color="auto" w:sz="6" w:space="1"/>
        </w:pBdr>
        <w:snapToGrid w:val="0"/>
        <w:spacing w:after="0" w:line="240" w:lineRule="auto"/>
        <w:ind w:left="1797" w:hanging="1797"/>
        <w:jc w:val="both"/>
        <w:rPr>
          <w:rFonts w:ascii="Arial" w:hAnsi="Arial" w:eastAsia="宋体" w:cs="Arial"/>
          <w:b/>
        </w:rPr>
      </w:pPr>
      <w:r>
        <w:rPr>
          <w:rFonts w:ascii="Arial" w:hAnsi="Arial" w:cs="Arial"/>
          <w:b/>
        </w:rPr>
        <w:t>Document for:</w:t>
      </w:r>
      <w:r>
        <w:rPr>
          <w:rFonts w:ascii="Arial" w:hAnsi="Arial" w:cs="Arial"/>
          <w:b/>
          <w:lang w:eastAsia="ja-JP"/>
        </w:rPr>
        <w:tab/>
      </w:r>
      <w:r>
        <w:rPr>
          <w:rFonts w:ascii="Arial" w:hAnsi="Arial" w:cs="Arial"/>
          <w:b/>
          <w:lang w:eastAsia="ja-JP"/>
        </w:rPr>
        <w:t>Discussion and Decision</w:t>
      </w:r>
    </w:p>
    <w:p>
      <w:pPr>
        <w:pStyle w:val="2"/>
        <w:snapToGrid w:val="0"/>
        <w:spacing w:before="180" w:beforeLines="50" w:after="180" w:afterLines="50"/>
        <w:ind w:left="431" w:hanging="431"/>
        <w:jc w:val="both"/>
        <w:rPr>
          <w:sz w:val="28"/>
          <w:lang w:val="en-US"/>
        </w:rPr>
      </w:pPr>
      <w:bookmarkStart w:id="5" w:name="OLE_LINK1"/>
      <w:r>
        <w:rPr>
          <w:sz w:val="28"/>
          <w:lang w:val="en-US"/>
        </w:rPr>
        <w:t>Introduction</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According </w:t>
      </w:r>
      <w:r>
        <w:rPr>
          <w:rFonts w:hint="eastAsia" w:ascii="Times New Roman" w:hAnsi="Times New Roman"/>
          <w:sz w:val="20"/>
          <w:szCs w:val="20"/>
        </w:rPr>
        <w:t>to the Rel-18 positioning SID[1], the low power high accuracy positioning(LPHAP) is described as below:</w:t>
      </w: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numPr>
                <w:ilvl w:val="0"/>
                <w:numId w:val="3"/>
              </w:numPr>
              <w:adjustRightInd w:val="0"/>
              <w:snapToGrid w:val="0"/>
              <w:spacing w:before="180" w:beforeLines="50" w:after="180" w:afterLines="50" w:line="240" w:lineRule="auto"/>
              <w:jc w:val="both"/>
              <w:rPr>
                <w:rFonts w:ascii="Times New Roman" w:hAnsi="Times New Roman"/>
                <w:bCs/>
                <w:sz w:val="20"/>
                <w:szCs w:val="20"/>
              </w:rPr>
            </w:pPr>
            <w:r>
              <w:rPr>
                <w:rFonts w:ascii="Times New Roman" w:hAnsi="Times New Roman"/>
                <w:bCs/>
                <w:sz w:val="20"/>
                <w:szCs w:val="20"/>
              </w:rPr>
              <w:t>Improved accuracy, integrity, and power efficiency:</w:t>
            </w:r>
          </w:p>
          <w:p>
            <w:pPr>
              <w:numPr>
                <w:ilvl w:val="1"/>
                <w:numId w:val="3"/>
              </w:numPr>
              <w:adjustRightInd w:val="0"/>
              <w:snapToGrid w:val="0"/>
              <w:spacing w:before="180" w:beforeLines="50" w:after="180" w:afterLines="50" w:line="240" w:lineRule="auto"/>
              <w:jc w:val="both"/>
              <w:rPr>
                <w:rFonts w:ascii="Times New Roman" w:hAnsi="Times New Roman"/>
                <w:bCs/>
                <w:sz w:val="20"/>
                <w:szCs w:val="20"/>
              </w:rPr>
            </w:pPr>
            <w:r>
              <w:rPr>
                <w:rFonts w:ascii="Times New Roman" w:hAnsi="Times New Roman"/>
                <w:bCs/>
                <w:sz w:val="20"/>
                <w:szCs w:val="20"/>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pPr>
              <w:numPr>
                <w:ilvl w:val="2"/>
                <w:numId w:val="3"/>
              </w:numPr>
              <w:adjustRightInd w:val="0"/>
              <w:snapToGrid w:val="0"/>
              <w:spacing w:before="180" w:beforeLines="50" w:after="180" w:afterLines="50" w:line="240" w:lineRule="auto"/>
              <w:jc w:val="both"/>
              <w:rPr>
                <w:rFonts w:ascii="Times New Roman" w:hAnsi="Times New Roman"/>
                <w:bCs/>
                <w:sz w:val="20"/>
                <w:szCs w:val="20"/>
              </w:rPr>
            </w:pPr>
            <w:r>
              <w:rPr>
                <w:rFonts w:ascii="Times New Roman" w:hAnsi="Times New Roman"/>
                <w:bCs/>
                <w:sz w:val="20"/>
                <w:szCs w:val="20"/>
              </w:rPr>
              <w:t>Study is limited to a single representative use case (use case 6 as defined TS 22.104). The choice of selected use case can be reviewed at the start of the study.</w:t>
            </w:r>
          </w:p>
          <w:p>
            <w:pPr>
              <w:numPr>
                <w:ilvl w:val="2"/>
                <w:numId w:val="3"/>
              </w:num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bCs/>
                <w:sz w:val="20"/>
                <w:szCs w:val="20"/>
              </w:rPr>
              <w:t>Study is limited to enhancements to RRC_INACTIVE and/or RRC_IDLE state</w:t>
            </w:r>
          </w:p>
        </w:tc>
      </w:tr>
    </w:tbl>
    <w:p>
      <w:pPr>
        <w:adjustRightInd w:val="0"/>
        <w:snapToGrid w:val="0"/>
        <w:spacing w:before="180" w:beforeLines="50" w:after="180" w:afterLines="50" w:line="240" w:lineRule="auto"/>
        <w:jc w:val="both"/>
        <w:rPr>
          <w:rFonts w:ascii="Times New Roman" w:hAnsi="Times New Roman"/>
          <w:iCs/>
          <w:sz w:val="20"/>
          <w:szCs w:val="20"/>
        </w:rPr>
      </w:pPr>
      <w:r>
        <w:rPr>
          <w:rFonts w:hint="eastAsia" w:ascii="Times New Roman" w:hAnsi="Times New Roman"/>
          <w:sz w:val="20"/>
          <w:szCs w:val="20"/>
        </w:rPr>
        <w:t xml:space="preserve">This contribution shares some views about LPHAP. </w:t>
      </w:r>
    </w:p>
    <w:bookmarkEnd w:id="5"/>
    <w:p>
      <w:pPr>
        <w:pStyle w:val="2"/>
        <w:snapToGrid w:val="0"/>
        <w:spacing w:before="180" w:beforeLines="50" w:after="180" w:afterLines="50"/>
        <w:ind w:left="431" w:hanging="431"/>
        <w:jc w:val="both"/>
        <w:rPr>
          <w:sz w:val="28"/>
          <w:lang w:val="en-US"/>
        </w:rPr>
      </w:pPr>
      <w:r>
        <w:rPr>
          <w:sz w:val="28"/>
          <w:lang w:val="en-US"/>
        </w:rPr>
        <w:t>Discussion</w:t>
      </w:r>
    </w:p>
    <w:p>
      <w:pPr>
        <w:pStyle w:val="3"/>
        <w:adjustRightInd w:val="0"/>
        <w:snapToGrid w:val="0"/>
        <w:spacing w:before="180" w:beforeLines="50" w:after="180" w:afterLines="50" w:line="240" w:lineRule="auto"/>
        <w:jc w:val="both"/>
        <w:rPr>
          <w:rFonts w:ascii="Cambria" w:hAnsi="Cambria" w:cs="Cambria"/>
          <w:sz w:val="24"/>
          <w:szCs w:val="24"/>
        </w:rPr>
      </w:pPr>
      <w:r>
        <w:rPr>
          <w:rFonts w:ascii="Cambria" w:hAnsi="Cambria" w:cs="Cambria"/>
          <w:sz w:val="24"/>
          <w:szCs w:val="24"/>
        </w:rPr>
        <w:t>2.1 LPHAP use cases</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The SA1#94 meeting in May 2021 approved the use cases and requirements of LPHAP </w:t>
      </w:r>
      <w:r>
        <w:rPr>
          <w:rFonts w:hint="eastAsia" w:ascii="Times New Roman" w:hAnsi="Times New Roman"/>
          <w:sz w:val="20"/>
          <w:szCs w:val="20"/>
        </w:rPr>
        <w:t>[2]</w:t>
      </w:r>
      <w:r>
        <w:rPr>
          <w:rFonts w:ascii="Times New Roman" w:hAnsi="Times New Roman"/>
          <w:sz w:val="20"/>
          <w:szCs w:val="20"/>
        </w:rPr>
        <w:t xml:space="preserve">, and </w:t>
      </w:r>
      <w:r>
        <w:rPr>
          <w:rFonts w:hint="eastAsia" w:ascii="Times New Roman" w:hAnsi="Times New Roman"/>
          <w:sz w:val="20"/>
          <w:szCs w:val="20"/>
        </w:rPr>
        <w:t>nine</w:t>
      </w:r>
      <w:r>
        <w:rPr>
          <w:rFonts w:ascii="Times New Roman" w:hAnsi="Times New Roman"/>
          <w:sz w:val="20"/>
          <w:szCs w:val="20"/>
        </w:rPr>
        <w:t xml:space="preserve"> use cases have been adopted in section A.7.2 of </w:t>
      </w:r>
      <w:r>
        <w:rPr>
          <w:rFonts w:hint="eastAsia" w:ascii="Times New Roman" w:hAnsi="Times New Roman"/>
          <w:sz w:val="20"/>
          <w:szCs w:val="20"/>
        </w:rPr>
        <w:t>[3]</w:t>
      </w:r>
      <w:r>
        <w:rPr>
          <w:rFonts w:ascii="Times New Roman" w:hAnsi="Times New Roman"/>
          <w:sz w:val="20"/>
          <w:szCs w:val="20"/>
        </w:rPr>
        <w:t xml:space="preserve"> as follows</w:t>
      </w:r>
      <w:r>
        <w:rPr>
          <w:rFonts w:hint="eastAsia" w:ascii="Times New Roman" w:hAnsi="Times New Roman"/>
          <w:sz w:val="20"/>
          <w:szCs w:val="20"/>
        </w:rPr>
        <w:t>:</w:t>
      </w:r>
    </w:p>
    <w:p>
      <w:pPr>
        <w:pStyle w:val="58"/>
        <w:adjustRightInd w:val="0"/>
        <w:snapToGrid w:val="0"/>
        <w:spacing w:before="180" w:beforeLines="50" w:afterLines="50"/>
        <w:rPr>
          <w:rFonts w:eastAsia="宋体"/>
        </w:rPr>
      </w:pPr>
      <w:r>
        <w:rPr>
          <w:rFonts w:eastAsia="宋体"/>
        </w:rPr>
        <w:t>Table A</w:t>
      </w:r>
      <w:r>
        <w:rPr>
          <w:rFonts w:eastAsia="宋体"/>
          <w:b w:val="0"/>
        </w:rPr>
        <w:t>.</w:t>
      </w:r>
      <w:r>
        <w:rPr>
          <w:rFonts w:eastAsia="宋体"/>
        </w:rPr>
        <w:t xml:space="preserve">7.2-1: Low power high </w:t>
      </w:r>
      <w:r>
        <w:t>accuracy</w:t>
      </w:r>
      <w:r>
        <w:rPr>
          <w:rFonts w:hint="eastAsia"/>
        </w:rPr>
        <w:t xml:space="preserve"> </w:t>
      </w:r>
      <w:r>
        <w:rPr>
          <w:rFonts w:eastAsia="宋体"/>
        </w:rPr>
        <w:t>positioning use cases</w:t>
      </w:r>
    </w:p>
    <w:tbl>
      <w:tblPr>
        <w:tblStyle w:val="23"/>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1348"/>
        <w:gridCol w:w="1228"/>
        <w:gridCol w:w="1497"/>
        <w:gridCol w:w="2058"/>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42" w:hRule="atLeast"/>
          <w:jc w:val="center"/>
        </w:trPr>
        <w:tc>
          <w:tcPr>
            <w:tcW w:w="1348" w:type="dxa"/>
            <w:shd w:val="clear" w:color="auto" w:fill="auto"/>
          </w:tcPr>
          <w:p>
            <w:pPr>
              <w:pStyle w:val="55"/>
              <w:adjustRightInd w:val="0"/>
              <w:snapToGrid w:val="0"/>
              <w:spacing w:before="180" w:beforeLines="50" w:after="180" w:afterLines="50"/>
              <w:jc w:val="both"/>
              <w:rPr>
                <w:lang w:eastAsia="zh-CN"/>
              </w:rPr>
            </w:pPr>
            <w:r>
              <w:t>Use</w:t>
            </w:r>
            <w:r>
              <w:rPr>
                <w:lang w:eastAsia="zh-CN"/>
              </w:rPr>
              <w:t xml:space="preserve"> Case #</w:t>
            </w:r>
          </w:p>
        </w:tc>
        <w:tc>
          <w:tcPr>
            <w:tcW w:w="1228" w:type="dxa"/>
            <w:shd w:val="clear" w:color="auto" w:fill="auto"/>
          </w:tcPr>
          <w:p>
            <w:pPr>
              <w:pStyle w:val="55"/>
              <w:adjustRightInd w:val="0"/>
              <w:snapToGrid w:val="0"/>
              <w:spacing w:before="180" w:beforeLines="50" w:after="180" w:afterLines="50"/>
              <w:jc w:val="both"/>
            </w:pPr>
            <w:r>
              <w:t>Horizontal accuracy</w:t>
            </w:r>
          </w:p>
        </w:tc>
        <w:tc>
          <w:tcPr>
            <w:tcW w:w="1497" w:type="dxa"/>
            <w:shd w:val="clear" w:color="auto" w:fill="auto"/>
          </w:tcPr>
          <w:p>
            <w:pPr>
              <w:pStyle w:val="55"/>
              <w:adjustRightInd w:val="0"/>
              <w:snapToGrid w:val="0"/>
              <w:spacing w:before="180" w:beforeLines="50" w:after="180" w:afterLines="50"/>
              <w:jc w:val="both"/>
            </w:pPr>
            <w:r>
              <w:t>Corresponding service level (22.261)</w:t>
            </w:r>
          </w:p>
        </w:tc>
        <w:tc>
          <w:tcPr>
            <w:tcW w:w="2058" w:type="dxa"/>
            <w:shd w:val="clear" w:color="auto" w:fill="auto"/>
          </w:tcPr>
          <w:p>
            <w:pPr>
              <w:pStyle w:val="55"/>
              <w:adjustRightInd w:val="0"/>
              <w:snapToGrid w:val="0"/>
              <w:spacing w:before="180" w:beforeLines="50" w:after="180" w:afterLines="50"/>
              <w:jc w:val="both"/>
            </w:pPr>
            <w:r>
              <w:t>Positioning interval/ duty cycle</w:t>
            </w:r>
          </w:p>
        </w:tc>
        <w:tc>
          <w:tcPr>
            <w:tcW w:w="3187" w:type="dxa"/>
            <w:shd w:val="clear" w:color="auto" w:fill="auto"/>
          </w:tcPr>
          <w:p>
            <w:pPr>
              <w:pStyle w:val="55"/>
              <w:adjustRightInd w:val="0"/>
              <w:snapToGrid w:val="0"/>
              <w:spacing w:before="180" w:beforeLines="50" w:after="180" w:afterLines="50"/>
              <w:jc w:val="both"/>
            </w:pPr>
            <w:r>
              <w:t>battery life time/ minimum operation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5" w:hRule="atLeast"/>
          <w:jc w:val="center"/>
        </w:trPr>
        <w:tc>
          <w:tcPr>
            <w:tcW w:w="1348" w:type="dxa"/>
            <w:shd w:val="clear" w:color="auto" w:fill="auto"/>
          </w:tcPr>
          <w:p>
            <w:pPr>
              <w:pStyle w:val="56"/>
              <w:adjustRightInd w:val="0"/>
              <w:snapToGrid w:val="0"/>
              <w:spacing w:before="180" w:beforeLines="50" w:after="180" w:afterLines="50"/>
              <w:jc w:val="both"/>
              <w:rPr>
                <w:rFonts w:eastAsia="宋体"/>
              </w:rPr>
            </w:pPr>
            <w:r>
              <w:rPr>
                <w:rFonts w:eastAsia="宋体"/>
              </w:rPr>
              <w:t>1</w:t>
            </w:r>
          </w:p>
        </w:tc>
        <w:tc>
          <w:tcPr>
            <w:tcW w:w="1228" w:type="dxa"/>
            <w:shd w:val="clear" w:color="auto" w:fill="auto"/>
          </w:tcPr>
          <w:p>
            <w:pPr>
              <w:adjustRightInd w:val="0"/>
              <w:snapToGrid w:val="0"/>
              <w:spacing w:before="180" w:beforeLines="50" w:after="180" w:afterLines="50" w:line="240" w:lineRule="auto"/>
              <w:jc w:val="both"/>
              <w:rPr>
                <w:rFonts w:ascii="Arial" w:hAnsi="Arial" w:eastAsia="宋体"/>
                <w:sz w:val="18"/>
              </w:rPr>
            </w:pPr>
            <w:r>
              <w:rPr>
                <w:rFonts w:ascii="Arial" w:hAnsi="Arial" w:eastAsia="宋体"/>
                <w:sz w:val="18"/>
              </w:rPr>
              <w:t>10 m</w:t>
            </w:r>
          </w:p>
        </w:tc>
        <w:tc>
          <w:tcPr>
            <w:tcW w:w="1497" w:type="dxa"/>
            <w:shd w:val="clear" w:color="auto" w:fill="auto"/>
          </w:tcPr>
          <w:p>
            <w:pPr>
              <w:adjustRightInd w:val="0"/>
              <w:snapToGrid w:val="0"/>
              <w:spacing w:before="180" w:beforeLines="50" w:after="180" w:afterLines="50" w:line="240" w:lineRule="auto"/>
              <w:jc w:val="both"/>
              <w:rPr>
                <w:rFonts w:ascii="Arial" w:hAnsi="Arial" w:eastAsia="宋体"/>
                <w:sz w:val="18"/>
              </w:rPr>
            </w:pPr>
            <w:r>
              <w:rPr>
                <w:rFonts w:ascii="Arial" w:hAnsi="Arial" w:eastAsia="宋体"/>
                <w:sz w:val="18"/>
              </w:rPr>
              <w:t>Service Level 1</w:t>
            </w:r>
          </w:p>
        </w:tc>
        <w:tc>
          <w:tcPr>
            <w:tcW w:w="2058" w:type="dxa"/>
            <w:shd w:val="clear" w:color="auto" w:fill="auto"/>
          </w:tcPr>
          <w:p>
            <w:pPr>
              <w:adjustRightInd w:val="0"/>
              <w:snapToGrid w:val="0"/>
              <w:spacing w:before="180" w:beforeLines="50" w:after="180" w:afterLines="50" w:line="240" w:lineRule="auto"/>
              <w:jc w:val="both"/>
              <w:rPr>
                <w:rFonts w:ascii="Arial" w:hAnsi="Arial" w:eastAsia="宋体"/>
                <w:sz w:val="18"/>
              </w:rPr>
            </w:pPr>
            <w:r>
              <w:rPr>
                <w:rFonts w:ascii="Arial" w:hAnsi="Arial" w:eastAsia="宋体"/>
                <w:sz w:val="18"/>
              </w:rPr>
              <w:t>on request</w:t>
            </w:r>
          </w:p>
        </w:tc>
        <w:tc>
          <w:tcPr>
            <w:tcW w:w="3187" w:type="dxa"/>
            <w:shd w:val="clear" w:color="auto" w:fill="auto"/>
          </w:tcPr>
          <w:p>
            <w:pPr>
              <w:adjustRightInd w:val="0"/>
              <w:snapToGrid w:val="0"/>
              <w:spacing w:before="180" w:beforeLines="50" w:after="180" w:afterLines="50" w:line="240" w:lineRule="auto"/>
              <w:jc w:val="both"/>
              <w:rPr>
                <w:rFonts w:ascii="Arial" w:hAnsi="Arial" w:eastAsia="宋体"/>
                <w:sz w:val="18"/>
              </w:rPr>
            </w:pPr>
            <w:r>
              <w:rPr>
                <w:rFonts w:ascii="Arial" w:hAnsi="Arial" w:eastAsia="宋体"/>
                <w:sz w:val="18"/>
              </w:rPr>
              <w:t>24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5" w:hRule="atLeast"/>
          <w:jc w:val="center"/>
        </w:trPr>
        <w:tc>
          <w:tcPr>
            <w:tcW w:w="1348" w:type="dxa"/>
            <w:shd w:val="clear" w:color="auto" w:fill="auto"/>
          </w:tcPr>
          <w:p>
            <w:pPr>
              <w:adjustRightInd w:val="0"/>
              <w:snapToGrid w:val="0"/>
              <w:spacing w:before="180" w:beforeLines="50" w:after="180" w:afterLines="50" w:line="240" w:lineRule="auto"/>
              <w:jc w:val="both"/>
              <w:rPr>
                <w:rFonts w:ascii="Arial" w:hAnsi="Arial" w:eastAsia="宋体"/>
                <w:sz w:val="18"/>
              </w:rPr>
            </w:pPr>
            <w:r>
              <w:rPr>
                <w:rFonts w:ascii="Arial" w:hAnsi="Arial" w:eastAsia="宋体"/>
                <w:sz w:val="18"/>
              </w:rPr>
              <w:t>2</w:t>
            </w:r>
          </w:p>
        </w:tc>
        <w:tc>
          <w:tcPr>
            <w:tcW w:w="1228" w:type="dxa"/>
            <w:shd w:val="clear" w:color="auto" w:fill="auto"/>
          </w:tcPr>
          <w:p>
            <w:pPr>
              <w:adjustRightInd w:val="0"/>
              <w:snapToGrid w:val="0"/>
              <w:spacing w:before="180" w:beforeLines="50" w:after="180" w:afterLines="50" w:line="240" w:lineRule="auto"/>
              <w:jc w:val="both"/>
              <w:rPr>
                <w:rFonts w:ascii="Arial" w:hAnsi="Arial" w:eastAsia="宋体"/>
                <w:sz w:val="18"/>
              </w:rPr>
            </w:pPr>
            <w:r>
              <w:rPr>
                <w:rFonts w:ascii="Arial" w:hAnsi="Arial" w:eastAsia="宋体"/>
                <w:sz w:val="18"/>
              </w:rPr>
              <w:t>2 m to 3 m</w:t>
            </w:r>
          </w:p>
        </w:tc>
        <w:tc>
          <w:tcPr>
            <w:tcW w:w="1497" w:type="dxa"/>
            <w:shd w:val="clear" w:color="auto" w:fill="auto"/>
          </w:tcPr>
          <w:p>
            <w:pPr>
              <w:adjustRightInd w:val="0"/>
              <w:snapToGrid w:val="0"/>
              <w:spacing w:before="180" w:beforeLines="50" w:after="180" w:afterLines="50" w:line="240" w:lineRule="auto"/>
              <w:jc w:val="both"/>
              <w:rPr>
                <w:rFonts w:ascii="Arial" w:hAnsi="Arial" w:eastAsia="宋体"/>
                <w:sz w:val="18"/>
              </w:rPr>
            </w:pPr>
            <w:r>
              <w:rPr>
                <w:rFonts w:ascii="Arial" w:hAnsi="Arial" w:eastAsia="宋体"/>
                <w:sz w:val="18"/>
              </w:rPr>
              <w:t>Service Level 2</w:t>
            </w:r>
          </w:p>
        </w:tc>
        <w:tc>
          <w:tcPr>
            <w:tcW w:w="2058" w:type="dxa"/>
            <w:shd w:val="clear" w:color="auto" w:fill="auto"/>
          </w:tcPr>
          <w:p>
            <w:pPr>
              <w:adjustRightInd w:val="0"/>
              <w:snapToGrid w:val="0"/>
              <w:spacing w:before="180" w:beforeLines="50" w:after="180" w:afterLines="50" w:line="240" w:lineRule="auto"/>
              <w:jc w:val="both"/>
              <w:rPr>
                <w:rFonts w:ascii="Arial" w:hAnsi="Arial" w:eastAsia="宋体"/>
                <w:sz w:val="18"/>
              </w:rPr>
            </w:pPr>
            <w:r>
              <w:rPr>
                <w:rFonts w:ascii="Arial" w:hAnsi="Arial" w:eastAsia="宋体"/>
                <w:sz w:val="18"/>
              </w:rPr>
              <w:t>&lt; 4 seconds</w:t>
            </w:r>
          </w:p>
        </w:tc>
        <w:tc>
          <w:tcPr>
            <w:tcW w:w="3187" w:type="dxa"/>
            <w:shd w:val="clear" w:color="auto" w:fill="auto"/>
          </w:tcPr>
          <w:p>
            <w:pPr>
              <w:adjustRightInd w:val="0"/>
              <w:snapToGrid w:val="0"/>
              <w:spacing w:before="180" w:beforeLines="50" w:after="180" w:afterLines="50" w:line="240" w:lineRule="auto"/>
              <w:jc w:val="both"/>
              <w:rPr>
                <w:rFonts w:ascii="Arial" w:hAnsi="Arial" w:eastAsia="宋体"/>
                <w:sz w:val="18"/>
              </w:rPr>
            </w:pPr>
            <w:r>
              <w:rPr>
                <w:rFonts w:ascii="Arial" w:hAnsi="Arial" w:eastAsia="宋体"/>
                <w:sz w:val="18"/>
              </w:rPr>
              <w:t>&gt; 6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5" w:hRule="atLeast"/>
          <w:jc w:val="center"/>
        </w:trPr>
        <w:tc>
          <w:tcPr>
            <w:tcW w:w="1348" w:type="dxa"/>
            <w:shd w:val="clear" w:color="auto" w:fill="auto"/>
          </w:tcPr>
          <w:p>
            <w:pPr>
              <w:adjustRightInd w:val="0"/>
              <w:snapToGrid w:val="0"/>
              <w:spacing w:before="180" w:beforeLines="50" w:after="180" w:afterLines="50" w:line="240" w:lineRule="auto"/>
              <w:jc w:val="both"/>
              <w:rPr>
                <w:rFonts w:ascii="Arial" w:hAnsi="Arial" w:eastAsia="宋体"/>
                <w:sz w:val="18"/>
              </w:rPr>
            </w:pPr>
            <w:r>
              <w:rPr>
                <w:rFonts w:ascii="Arial" w:hAnsi="Arial" w:eastAsia="宋体"/>
                <w:sz w:val="18"/>
              </w:rPr>
              <w:t>3</w:t>
            </w:r>
          </w:p>
        </w:tc>
        <w:tc>
          <w:tcPr>
            <w:tcW w:w="1228" w:type="dxa"/>
            <w:shd w:val="clear" w:color="auto" w:fill="auto"/>
          </w:tcPr>
          <w:p>
            <w:pPr>
              <w:adjustRightInd w:val="0"/>
              <w:snapToGrid w:val="0"/>
              <w:spacing w:before="180" w:beforeLines="50" w:after="180" w:afterLines="50" w:line="240" w:lineRule="auto"/>
              <w:jc w:val="both"/>
              <w:rPr>
                <w:rFonts w:ascii="Arial" w:hAnsi="Arial" w:eastAsia="宋体"/>
                <w:sz w:val="18"/>
              </w:rPr>
            </w:pPr>
            <w:r>
              <w:rPr>
                <w:rFonts w:ascii="Arial" w:hAnsi="Arial" w:eastAsia="宋体"/>
                <w:sz w:val="18"/>
              </w:rPr>
              <w:t>&lt; 1 m</w:t>
            </w:r>
          </w:p>
        </w:tc>
        <w:tc>
          <w:tcPr>
            <w:tcW w:w="1497" w:type="dxa"/>
            <w:shd w:val="clear" w:color="auto" w:fill="auto"/>
          </w:tcPr>
          <w:p>
            <w:pPr>
              <w:adjustRightInd w:val="0"/>
              <w:snapToGrid w:val="0"/>
              <w:spacing w:before="180" w:beforeLines="50" w:after="180" w:afterLines="50" w:line="240" w:lineRule="auto"/>
              <w:jc w:val="both"/>
              <w:rPr>
                <w:rFonts w:ascii="Arial" w:hAnsi="Arial" w:eastAsia="宋体"/>
                <w:sz w:val="18"/>
              </w:rPr>
            </w:pPr>
            <w:r>
              <w:rPr>
                <w:rFonts w:ascii="Arial" w:hAnsi="Arial" w:eastAsia="宋体"/>
                <w:sz w:val="18"/>
              </w:rPr>
              <w:t>Service Level 3</w:t>
            </w:r>
          </w:p>
        </w:tc>
        <w:tc>
          <w:tcPr>
            <w:tcW w:w="2058" w:type="dxa"/>
            <w:shd w:val="clear" w:color="auto" w:fill="auto"/>
          </w:tcPr>
          <w:p>
            <w:pPr>
              <w:adjustRightInd w:val="0"/>
              <w:snapToGrid w:val="0"/>
              <w:spacing w:before="180" w:beforeLines="50" w:after="180" w:afterLines="50" w:line="240" w:lineRule="auto"/>
              <w:jc w:val="both"/>
              <w:rPr>
                <w:rFonts w:ascii="Arial" w:hAnsi="Arial" w:eastAsia="宋体"/>
                <w:sz w:val="18"/>
              </w:rPr>
            </w:pPr>
            <w:r>
              <w:rPr>
                <w:rFonts w:ascii="Arial" w:hAnsi="Arial" w:eastAsia="宋体"/>
                <w:sz w:val="18"/>
              </w:rPr>
              <w:t>no indication</w:t>
            </w:r>
          </w:p>
        </w:tc>
        <w:tc>
          <w:tcPr>
            <w:tcW w:w="3187" w:type="dxa"/>
            <w:shd w:val="clear" w:color="auto" w:fill="auto"/>
          </w:tcPr>
          <w:p>
            <w:pPr>
              <w:adjustRightInd w:val="0"/>
              <w:snapToGrid w:val="0"/>
              <w:spacing w:before="180" w:beforeLines="50" w:after="180" w:afterLines="50" w:line="240" w:lineRule="auto"/>
              <w:jc w:val="both"/>
              <w:rPr>
                <w:rFonts w:ascii="Arial" w:hAnsi="Arial" w:eastAsia="宋体"/>
                <w:sz w:val="18"/>
              </w:rPr>
            </w:pPr>
            <w:r>
              <w:rPr>
                <w:rFonts w:ascii="Arial" w:hAnsi="Arial" w:eastAsia="宋体"/>
                <w:sz w:val="18"/>
              </w:rPr>
              <w:t>1 work shift - 8 hours (up to 3 days, 1 month for inventory purposes)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5" w:hRule="atLeast"/>
          <w:jc w:val="center"/>
        </w:trPr>
        <w:tc>
          <w:tcPr>
            <w:tcW w:w="1348" w:type="dxa"/>
            <w:shd w:val="clear" w:color="auto" w:fill="auto"/>
          </w:tcPr>
          <w:p>
            <w:pPr>
              <w:pStyle w:val="56"/>
              <w:adjustRightInd w:val="0"/>
              <w:snapToGrid w:val="0"/>
              <w:spacing w:before="180" w:beforeLines="50" w:after="180" w:afterLines="50"/>
              <w:jc w:val="both"/>
              <w:rPr>
                <w:rFonts w:eastAsia="宋体"/>
              </w:rPr>
            </w:pPr>
            <w:r>
              <w:rPr>
                <w:rFonts w:eastAsia="宋体"/>
              </w:rPr>
              <w:t>4</w:t>
            </w:r>
          </w:p>
        </w:tc>
        <w:tc>
          <w:tcPr>
            <w:tcW w:w="1228" w:type="dxa"/>
            <w:shd w:val="clear" w:color="auto" w:fill="auto"/>
          </w:tcPr>
          <w:p>
            <w:pPr>
              <w:pStyle w:val="56"/>
              <w:adjustRightInd w:val="0"/>
              <w:snapToGrid w:val="0"/>
              <w:spacing w:before="180" w:beforeLines="50" w:after="180" w:afterLines="50"/>
              <w:jc w:val="both"/>
              <w:rPr>
                <w:rFonts w:eastAsia="宋体"/>
              </w:rPr>
            </w:pPr>
            <w:r>
              <w:rPr>
                <w:rFonts w:eastAsia="宋体"/>
              </w:rPr>
              <w:t>&lt; 1 m</w:t>
            </w:r>
          </w:p>
        </w:tc>
        <w:tc>
          <w:tcPr>
            <w:tcW w:w="1497" w:type="dxa"/>
            <w:shd w:val="clear" w:color="auto" w:fill="auto"/>
          </w:tcPr>
          <w:p>
            <w:pPr>
              <w:pStyle w:val="56"/>
              <w:adjustRightInd w:val="0"/>
              <w:snapToGrid w:val="0"/>
              <w:spacing w:before="180" w:beforeLines="50" w:after="180" w:afterLines="50"/>
              <w:jc w:val="both"/>
              <w:rPr>
                <w:rFonts w:eastAsia="宋体"/>
              </w:rPr>
            </w:pPr>
            <w:r>
              <w:rPr>
                <w:rFonts w:eastAsia="宋体"/>
              </w:rPr>
              <w:t>Service Level 3</w:t>
            </w:r>
          </w:p>
        </w:tc>
        <w:tc>
          <w:tcPr>
            <w:tcW w:w="2058" w:type="dxa"/>
            <w:shd w:val="clear" w:color="auto" w:fill="auto"/>
          </w:tcPr>
          <w:p>
            <w:pPr>
              <w:pStyle w:val="56"/>
              <w:adjustRightInd w:val="0"/>
              <w:snapToGrid w:val="0"/>
              <w:spacing w:before="180" w:beforeLines="50" w:after="180" w:afterLines="50"/>
              <w:jc w:val="both"/>
              <w:rPr>
                <w:rFonts w:eastAsia="宋体"/>
              </w:rPr>
            </w:pPr>
            <w:r>
              <w:rPr>
                <w:rFonts w:eastAsia="宋体"/>
              </w:rPr>
              <w:t>1 second</w:t>
            </w:r>
          </w:p>
        </w:tc>
        <w:tc>
          <w:tcPr>
            <w:tcW w:w="3187" w:type="dxa"/>
            <w:shd w:val="clear" w:color="auto" w:fill="auto"/>
          </w:tcPr>
          <w:p>
            <w:pPr>
              <w:pStyle w:val="56"/>
              <w:adjustRightInd w:val="0"/>
              <w:snapToGrid w:val="0"/>
              <w:spacing w:before="180" w:beforeLines="50" w:after="180" w:afterLines="50"/>
              <w:jc w:val="both"/>
              <w:rPr>
                <w:rFonts w:eastAsia="宋体"/>
              </w:rPr>
            </w:pPr>
            <w:r>
              <w:rPr>
                <w:rFonts w:eastAsia="宋体"/>
              </w:rPr>
              <w:t>6 - 8 years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shd w:val="clear" w:color="auto" w:fill="auto"/>
          </w:tcPr>
          <w:p>
            <w:pPr>
              <w:pStyle w:val="56"/>
              <w:adjustRightInd w:val="0"/>
              <w:snapToGrid w:val="0"/>
              <w:spacing w:before="180" w:beforeLines="50" w:after="180" w:afterLines="50"/>
              <w:jc w:val="both"/>
              <w:rPr>
                <w:rFonts w:eastAsia="宋体"/>
              </w:rPr>
            </w:pPr>
            <w:r>
              <w:rPr>
                <w:rFonts w:eastAsia="宋体"/>
              </w:rPr>
              <w:t>5</w:t>
            </w:r>
          </w:p>
        </w:tc>
        <w:tc>
          <w:tcPr>
            <w:tcW w:w="1228" w:type="dxa"/>
            <w:shd w:val="clear" w:color="auto" w:fill="auto"/>
          </w:tcPr>
          <w:p>
            <w:pPr>
              <w:pStyle w:val="56"/>
              <w:adjustRightInd w:val="0"/>
              <w:snapToGrid w:val="0"/>
              <w:spacing w:before="180" w:beforeLines="50" w:after="180" w:afterLines="50"/>
              <w:jc w:val="both"/>
              <w:rPr>
                <w:rFonts w:eastAsia="宋体"/>
              </w:rPr>
            </w:pPr>
            <w:r>
              <w:rPr>
                <w:rFonts w:eastAsia="宋体"/>
              </w:rPr>
              <w:t>&lt; 1 m</w:t>
            </w:r>
          </w:p>
        </w:tc>
        <w:tc>
          <w:tcPr>
            <w:tcW w:w="1497" w:type="dxa"/>
            <w:shd w:val="clear" w:color="auto" w:fill="auto"/>
          </w:tcPr>
          <w:p>
            <w:pPr>
              <w:pStyle w:val="56"/>
              <w:adjustRightInd w:val="0"/>
              <w:snapToGrid w:val="0"/>
              <w:spacing w:before="180" w:beforeLines="50" w:after="180" w:afterLines="50"/>
              <w:jc w:val="both"/>
              <w:rPr>
                <w:rFonts w:eastAsia="宋体"/>
              </w:rPr>
            </w:pPr>
            <w:r>
              <w:rPr>
                <w:rFonts w:eastAsia="宋体"/>
              </w:rPr>
              <w:t>Service Level 3</w:t>
            </w:r>
          </w:p>
        </w:tc>
        <w:tc>
          <w:tcPr>
            <w:tcW w:w="2058" w:type="dxa"/>
            <w:shd w:val="clear" w:color="auto" w:fill="auto"/>
          </w:tcPr>
          <w:p>
            <w:pPr>
              <w:pStyle w:val="56"/>
              <w:adjustRightInd w:val="0"/>
              <w:snapToGrid w:val="0"/>
              <w:spacing w:before="180" w:beforeLines="50" w:after="180" w:afterLines="50"/>
              <w:jc w:val="both"/>
              <w:rPr>
                <w:rFonts w:eastAsia="宋体"/>
              </w:rPr>
            </w:pPr>
            <w:r>
              <w:rPr>
                <w:rFonts w:eastAsia="宋体"/>
              </w:rPr>
              <w:t>5 seconds - 15 minutes</w:t>
            </w:r>
          </w:p>
        </w:tc>
        <w:tc>
          <w:tcPr>
            <w:tcW w:w="3187" w:type="dxa"/>
            <w:shd w:val="clear" w:color="auto" w:fill="auto"/>
          </w:tcPr>
          <w:p>
            <w:pPr>
              <w:pStyle w:val="56"/>
              <w:adjustRightInd w:val="0"/>
              <w:snapToGrid w:val="0"/>
              <w:spacing w:before="180" w:beforeLines="50" w:after="180" w:afterLines="50"/>
              <w:jc w:val="both"/>
              <w:rPr>
                <w:rFonts w:eastAsia="宋体"/>
              </w:rPr>
            </w:pPr>
            <w:r>
              <w:rPr>
                <w:rFonts w:eastAsia="宋体"/>
              </w:rPr>
              <w:t>18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shd w:val="clear" w:color="auto" w:fill="auto"/>
          </w:tcPr>
          <w:p>
            <w:pPr>
              <w:pStyle w:val="56"/>
              <w:adjustRightInd w:val="0"/>
              <w:snapToGrid w:val="0"/>
              <w:spacing w:before="180" w:beforeLines="50" w:after="180" w:afterLines="50"/>
              <w:jc w:val="both"/>
              <w:rPr>
                <w:rFonts w:eastAsia="宋体"/>
              </w:rPr>
            </w:pPr>
            <w:r>
              <w:rPr>
                <w:rFonts w:eastAsia="宋体"/>
              </w:rPr>
              <w:t>6</w:t>
            </w:r>
          </w:p>
        </w:tc>
        <w:tc>
          <w:tcPr>
            <w:tcW w:w="1228" w:type="dxa"/>
            <w:shd w:val="clear" w:color="auto" w:fill="auto"/>
          </w:tcPr>
          <w:p>
            <w:pPr>
              <w:pStyle w:val="56"/>
              <w:adjustRightInd w:val="0"/>
              <w:snapToGrid w:val="0"/>
              <w:spacing w:before="180" w:beforeLines="50" w:after="180" w:afterLines="50"/>
              <w:jc w:val="both"/>
              <w:rPr>
                <w:rFonts w:eastAsia="宋体"/>
              </w:rPr>
            </w:pPr>
            <w:r>
              <w:rPr>
                <w:rFonts w:eastAsia="宋体"/>
              </w:rPr>
              <w:t>&lt; 1 m</w:t>
            </w:r>
          </w:p>
        </w:tc>
        <w:tc>
          <w:tcPr>
            <w:tcW w:w="1497" w:type="dxa"/>
            <w:shd w:val="clear" w:color="auto" w:fill="auto"/>
          </w:tcPr>
          <w:p>
            <w:pPr>
              <w:pStyle w:val="56"/>
              <w:adjustRightInd w:val="0"/>
              <w:snapToGrid w:val="0"/>
              <w:spacing w:before="180" w:beforeLines="50" w:after="180" w:afterLines="50"/>
              <w:jc w:val="both"/>
              <w:rPr>
                <w:rFonts w:eastAsia="宋体"/>
              </w:rPr>
            </w:pPr>
            <w:r>
              <w:rPr>
                <w:rFonts w:eastAsia="宋体"/>
              </w:rPr>
              <w:t>Service Level 3</w:t>
            </w:r>
          </w:p>
        </w:tc>
        <w:tc>
          <w:tcPr>
            <w:tcW w:w="2058" w:type="dxa"/>
            <w:shd w:val="clear" w:color="auto" w:fill="auto"/>
          </w:tcPr>
          <w:p>
            <w:pPr>
              <w:pStyle w:val="56"/>
              <w:adjustRightInd w:val="0"/>
              <w:snapToGrid w:val="0"/>
              <w:spacing w:before="180" w:beforeLines="50" w:after="180" w:afterLines="50"/>
              <w:jc w:val="both"/>
              <w:rPr>
                <w:rFonts w:eastAsia="宋体"/>
              </w:rPr>
            </w:pPr>
            <w:r>
              <w:rPr>
                <w:rFonts w:eastAsia="宋体"/>
              </w:rPr>
              <w:t>15 s to 30 s</w:t>
            </w:r>
          </w:p>
        </w:tc>
        <w:tc>
          <w:tcPr>
            <w:tcW w:w="3187" w:type="dxa"/>
            <w:shd w:val="clear" w:color="auto" w:fill="auto"/>
          </w:tcPr>
          <w:p>
            <w:pPr>
              <w:pStyle w:val="56"/>
              <w:adjustRightInd w:val="0"/>
              <w:snapToGrid w:val="0"/>
              <w:spacing w:before="180" w:beforeLines="50" w:after="180" w:afterLines="50"/>
              <w:jc w:val="both"/>
              <w:rPr>
                <w:rFonts w:eastAsia="宋体"/>
              </w:rPr>
            </w:pPr>
            <w:r>
              <w:rPr>
                <w:rFonts w:eastAsia="宋体"/>
              </w:rPr>
              <w:t xml:space="preserve">6 - 12 months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shd w:val="clear" w:color="auto" w:fill="auto"/>
          </w:tcPr>
          <w:p>
            <w:pPr>
              <w:pStyle w:val="56"/>
              <w:adjustRightInd w:val="0"/>
              <w:snapToGrid w:val="0"/>
              <w:spacing w:before="180" w:beforeLines="50" w:after="180" w:afterLines="50"/>
              <w:jc w:val="both"/>
              <w:rPr>
                <w:rFonts w:eastAsia="宋体"/>
              </w:rPr>
            </w:pPr>
            <w:r>
              <w:rPr>
                <w:rFonts w:eastAsia="宋体"/>
              </w:rPr>
              <w:t>7</w:t>
            </w:r>
          </w:p>
        </w:tc>
        <w:tc>
          <w:tcPr>
            <w:tcW w:w="1228" w:type="dxa"/>
            <w:shd w:val="clear" w:color="auto" w:fill="auto"/>
          </w:tcPr>
          <w:p>
            <w:pPr>
              <w:pStyle w:val="56"/>
              <w:adjustRightInd w:val="0"/>
              <w:snapToGrid w:val="0"/>
              <w:spacing w:before="180" w:beforeLines="50" w:after="180" w:afterLines="50"/>
              <w:jc w:val="both"/>
              <w:rPr>
                <w:rFonts w:eastAsia="宋体"/>
              </w:rPr>
            </w:pPr>
            <w:r>
              <w:rPr>
                <w:rFonts w:eastAsia="宋体"/>
              </w:rPr>
              <w:t>30 cm</w:t>
            </w:r>
          </w:p>
        </w:tc>
        <w:tc>
          <w:tcPr>
            <w:tcW w:w="1497" w:type="dxa"/>
            <w:shd w:val="clear" w:color="auto" w:fill="auto"/>
          </w:tcPr>
          <w:p>
            <w:pPr>
              <w:pStyle w:val="56"/>
              <w:adjustRightInd w:val="0"/>
              <w:snapToGrid w:val="0"/>
              <w:spacing w:before="180" w:beforeLines="50" w:after="180" w:afterLines="50"/>
              <w:jc w:val="both"/>
              <w:rPr>
                <w:rFonts w:eastAsia="宋体"/>
              </w:rPr>
            </w:pPr>
            <w:r>
              <w:rPr>
                <w:rFonts w:eastAsia="宋体"/>
              </w:rPr>
              <w:t>Service Level 5</w:t>
            </w:r>
          </w:p>
        </w:tc>
        <w:tc>
          <w:tcPr>
            <w:tcW w:w="2058" w:type="dxa"/>
            <w:shd w:val="clear" w:color="auto" w:fill="auto"/>
          </w:tcPr>
          <w:p>
            <w:pPr>
              <w:pStyle w:val="56"/>
              <w:adjustRightInd w:val="0"/>
              <w:snapToGrid w:val="0"/>
              <w:spacing w:before="180" w:beforeLines="50" w:after="180" w:afterLines="50"/>
              <w:jc w:val="both"/>
              <w:rPr>
                <w:rFonts w:eastAsia="宋体"/>
              </w:rPr>
            </w:pPr>
            <w:r>
              <w:rPr>
                <w:rFonts w:eastAsia="宋体"/>
              </w:rPr>
              <w:t>250 ms</w:t>
            </w:r>
          </w:p>
        </w:tc>
        <w:tc>
          <w:tcPr>
            <w:tcW w:w="3187" w:type="dxa"/>
            <w:shd w:val="clear" w:color="auto" w:fill="auto"/>
          </w:tcPr>
          <w:p>
            <w:pPr>
              <w:pStyle w:val="56"/>
              <w:adjustRightInd w:val="0"/>
              <w:snapToGrid w:val="0"/>
              <w:spacing w:before="180" w:beforeLines="50" w:after="180" w:afterLines="50"/>
              <w:jc w:val="both"/>
              <w:rPr>
                <w:rFonts w:eastAsia="宋体"/>
              </w:rPr>
            </w:pPr>
            <w:r>
              <w:rPr>
                <w:rFonts w:eastAsia="宋体"/>
              </w:rPr>
              <w:t>18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shd w:val="clear" w:color="auto" w:fill="auto"/>
          </w:tcPr>
          <w:p>
            <w:pPr>
              <w:pStyle w:val="56"/>
              <w:adjustRightInd w:val="0"/>
              <w:snapToGrid w:val="0"/>
              <w:spacing w:before="180" w:beforeLines="50" w:after="180" w:afterLines="50"/>
              <w:jc w:val="both"/>
              <w:rPr>
                <w:rFonts w:eastAsia="宋体"/>
              </w:rPr>
            </w:pPr>
            <w:r>
              <w:rPr>
                <w:rFonts w:eastAsia="宋体"/>
              </w:rPr>
              <w:t>8</w:t>
            </w:r>
          </w:p>
        </w:tc>
        <w:tc>
          <w:tcPr>
            <w:tcW w:w="1228" w:type="dxa"/>
            <w:shd w:val="clear" w:color="auto" w:fill="auto"/>
          </w:tcPr>
          <w:p>
            <w:pPr>
              <w:pStyle w:val="56"/>
              <w:adjustRightInd w:val="0"/>
              <w:snapToGrid w:val="0"/>
              <w:spacing w:before="180" w:beforeLines="50" w:after="180" w:afterLines="50"/>
              <w:jc w:val="both"/>
              <w:rPr>
                <w:rFonts w:eastAsia="宋体"/>
              </w:rPr>
            </w:pPr>
            <w:r>
              <w:rPr>
                <w:rFonts w:eastAsia="宋体"/>
              </w:rPr>
              <w:t>30 cm</w:t>
            </w:r>
          </w:p>
        </w:tc>
        <w:tc>
          <w:tcPr>
            <w:tcW w:w="1497" w:type="dxa"/>
            <w:shd w:val="clear" w:color="auto" w:fill="auto"/>
          </w:tcPr>
          <w:p>
            <w:pPr>
              <w:pStyle w:val="56"/>
              <w:adjustRightInd w:val="0"/>
              <w:snapToGrid w:val="0"/>
              <w:spacing w:before="180" w:beforeLines="50" w:after="180" w:afterLines="50"/>
              <w:jc w:val="both"/>
              <w:rPr>
                <w:rFonts w:eastAsia="宋体"/>
              </w:rPr>
            </w:pPr>
            <w:r>
              <w:rPr>
                <w:rFonts w:eastAsia="宋体"/>
              </w:rPr>
              <w:t>Service Level 5</w:t>
            </w:r>
          </w:p>
        </w:tc>
        <w:tc>
          <w:tcPr>
            <w:tcW w:w="2058" w:type="dxa"/>
            <w:shd w:val="clear" w:color="auto" w:fill="auto"/>
          </w:tcPr>
          <w:p>
            <w:pPr>
              <w:pStyle w:val="56"/>
              <w:adjustRightInd w:val="0"/>
              <w:snapToGrid w:val="0"/>
              <w:spacing w:before="180" w:beforeLines="50" w:after="180" w:afterLines="50"/>
              <w:jc w:val="both"/>
              <w:rPr>
                <w:rFonts w:eastAsia="宋体"/>
              </w:rPr>
            </w:pPr>
            <w:r>
              <w:rPr>
                <w:rFonts w:eastAsia="宋体"/>
              </w:rPr>
              <w:t>1 second</w:t>
            </w:r>
          </w:p>
        </w:tc>
        <w:tc>
          <w:tcPr>
            <w:tcW w:w="3187" w:type="dxa"/>
            <w:shd w:val="clear" w:color="auto" w:fill="auto"/>
          </w:tcPr>
          <w:p>
            <w:pPr>
              <w:pStyle w:val="56"/>
              <w:adjustRightInd w:val="0"/>
              <w:snapToGrid w:val="0"/>
              <w:spacing w:before="180" w:beforeLines="50" w:after="180" w:afterLines="50"/>
              <w:jc w:val="both"/>
              <w:rPr>
                <w:rFonts w:eastAsia="宋体"/>
              </w:rPr>
            </w:pPr>
            <w:r>
              <w:rPr>
                <w:rFonts w:eastAsia="宋体"/>
              </w:rPr>
              <w:t>6 - 8 years (no strong limitation in battery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shd w:val="clear" w:color="auto" w:fill="auto"/>
          </w:tcPr>
          <w:p>
            <w:pPr>
              <w:pStyle w:val="56"/>
              <w:adjustRightInd w:val="0"/>
              <w:snapToGrid w:val="0"/>
              <w:spacing w:before="180" w:beforeLines="50" w:after="180" w:afterLines="50"/>
              <w:jc w:val="both"/>
              <w:rPr>
                <w:rFonts w:eastAsia="宋体"/>
              </w:rPr>
            </w:pPr>
            <w:r>
              <w:rPr>
                <w:rFonts w:eastAsia="宋体"/>
              </w:rPr>
              <w:t>9</w:t>
            </w:r>
          </w:p>
        </w:tc>
        <w:tc>
          <w:tcPr>
            <w:tcW w:w="1228" w:type="dxa"/>
            <w:shd w:val="clear" w:color="auto" w:fill="auto"/>
          </w:tcPr>
          <w:p>
            <w:pPr>
              <w:pStyle w:val="56"/>
              <w:adjustRightInd w:val="0"/>
              <w:snapToGrid w:val="0"/>
              <w:spacing w:before="180" w:beforeLines="50" w:after="180" w:afterLines="50"/>
              <w:jc w:val="both"/>
              <w:rPr>
                <w:rFonts w:eastAsia="宋体"/>
              </w:rPr>
            </w:pPr>
            <w:r>
              <w:rPr>
                <w:rFonts w:eastAsia="宋体"/>
              </w:rPr>
              <w:t>10 m</w:t>
            </w:r>
          </w:p>
        </w:tc>
        <w:tc>
          <w:tcPr>
            <w:tcW w:w="1497" w:type="dxa"/>
            <w:shd w:val="clear" w:color="auto" w:fill="auto"/>
          </w:tcPr>
          <w:p>
            <w:pPr>
              <w:pStyle w:val="56"/>
              <w:adjustRightInd w:val="0"/>
              <w:snapToGrid w:val="0"/>
              <w:spacing w:before="180" w:beforeLines="50" w:after="180" w:afterLines="50"/>
              <w:jc w:val="both"/>
              <w:rPr>
                <w:rFonts w:eastAsia="宋体"/>
              </w:rPr>
            </w:pPr>
            <w:r>
              <w:rPr>
                <w:rFonts w:eastAsia="宋体"/>
              </w:rPr>
              <w:t>Service Level 1</w:t>
            </w:r>
          </w:p>
        </w:tc>
        <w:tc>
          <w:tcPr>
            <w:tcW w:w="2058" w:type="dxa"/>
            <w:shd w:val="clear" w:color="auto" w:fill="auto"/>
          </w:tcPr>
          <w:p>
            <w:pPr>
              <w:pStyle w:val="56"/>
              <w:adjustRightInd w:val="0"/>
              <w:snapToGrid w:val="0"/>
              <w:spacing w:before="180" w:beforeLines="50" w:after="180" w:afterLines="50"/>
              <w:jc w:val="both"/>
              <w:rPr>
                <w:rFonts w:eastAsia="宋体"/>
              </w:rPr>
            </w:pPr>
            <w:r>
              <w:rPr>
                <w:rFonts w:eastAsia="宋体"/>
              </w:rPr>
              <w:t>20 minutes</w:t>
            </w:r>
          </w:p>
        </w:tc>
        <w:tc>
          <w:tcPr>
            <w:tcW w:w="3187" w:type="dxa"/>
            <w:shd w:val="clear" w:color="auto" w:fill="auto"/>
          </w:tcPr>
          <w:p>
            <w:pPr>
              <w:pStyle w:val="56"/>
              <w:adjustRightInd w:val="0"/>
              <w:snapToGrid w:val="0"/>
              <w:spacing w:before="180" w:beforeLines="50" w:after="180" w:afterLines="50"/>
              <w:jc w:val="both"/>
              <w:rPr>
                <w:rFonts w:eastAsia="宋体"/>
              </w:rPr>
            </w:pPr>
            <w:r>
              <w:rPr>
                <w:rFonts w:eastAsia="宋体"/>
              </w:rPr>
              <w:t>12 years (@20mJ/position fix)</w:t>
            </w:r>
          </w:p>
        </w:tc>
      </w:tr>
    </w:tbl>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It can be seen that different use cases </w:t>
      </w:r>
      <w:r>
        <w:rPr>
          <w:rFonts w:ascii="Times New Roman" w:hAnsi="Times New Roman"/>
          <w:sz w:val="20"/>
          <w:szCs w:val="20"/>
        </w:rPr>
        <w:t>have</w:t>
      </w:r>
      <w:r>
        <w:rPr>
          <w:rFonts w:hint="eastAsia" w:ascii="Times New Roman" w:hAnsi="Times New Roman"/>
          <w:sz w:val="20"/>
          <w:szCs w:val="20"/>
        </w:rPr>
        <w:t xml:space="preserve"> different requirements of accuracy, interval and power consumption. Among which, use case 5 and 6 are both balanced in the KPIs: neither too restrict nor too loose on the power consumption but also has a pretty good accuracy requirement of less than 1m. Furthermore, due to the consideration of the workload and the indication of SID, </w:t>
      </w:r>
      <w:r>
        <w:rPr>
          <w:rFonts w:ascii="Times New Roman" w:hAnsi="Times New Roman"/>
          <w:sz w:val="20"/>
          <w:szCs w:val="20"/>
        </w:rPr>
        <w:t xml:space="preserve">it is better to select </w:t>
      </w:r>
      <w:r>
        <w:rPr>
          <w:rFonts w:hint="eastAsia" w:ascii="Times New Roman" w:hAnsi="Times New Roman"/>
          <w:sz w:val="20"/>
          <w:szCs w:val="20"/>
        </w:rPr>
        <w:t xml:space="preserve">only one use case as the goal of Rel-18 and </w:t>
      </w:r>
      <w:r>
        <w:rPr>
          <w:rFonts w:ascii="Times New Roman" w:hAnsi="Times New Roman"/>
          <w:sz w:val="20"/>
          <w:szCs w:val="20"/>
        </w:rPr>
        <w:t>for</w:t>
      </w:r>
      <w:r>
        <w:rPr>
          <w:rFonts w:hint="eastAsia" w:ascii="Times New Roman" w:hAnsi="Times New Roman"/>
          <w:sz w:val="20"/>
          <w:szCs w:val="20"/>
        </w:rPr>
        <w:t xml:space="preserve"> evaluat</w:t>
      </w:r>
      <w:r>
        <w:rPr>
          <w:rFonts w:ascii="Times New Roman" w:hAnsi="Times New Roman"/>
          <w:sz w:val="20"/>
          <w:szCs w:val="20"/>
        </w:rPr>
        <w:t>ion</w:t>
      </w:r>
      <w:r>
        <w:rPr>
          <w:rFonts w:hint="eastAsia" w:ascii="Times New Roman" w:hAnsi="Times New Roman"/>
          <w:sz w:val="20"/>
          <w:szCs w:val="20"/>
        </w:rPr>
        <w:t xml:space="preserve"> work. Therefore, we suggest to evaluate use case 5 or use case 6 for the Rel-18 LPHAP. </w:t>
      </w:r>
    </w:p>
    <w:p>
      <w:pPr>
        <w:adjustRightInd w:val="0"/>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i/>
          <w:iCs/>
          <w:sz w:val="20"/>
          <w:szCs w:val="20"/>
        </w:rPr>
        <w:t>Proposal 1:</w:t>
      </w:r>
      <w:r>
        <w:rPr>
          <w:rFonts w:hint="eastAsia" w:ascii="Times New Roman" w:hAnsi="Times New Roman" w:eastAsia="宋体"/>
          <w:i/>
          <w:iCs/>
          <w:sz w:val="20"/>
          <w:szCs w:val="20"/>
        </w:rPr>
        <w:t xml:space="preserve"> Support use case 5 or use case 6 for the Rel-18 LPHAP.</w:t>
      </w:r>
    </w:p>
    <w:p>
      <w:pPr>
        <w:pStyle w:val="3"/>
        <w:adjustRightInd w:val="0"/>
        <w:snapToGrid w:val="0"/>
        <w:spacing w:before="180" w:beforeLines="50" w:after="180" w:afterLines="50" w:line="240" w:lineRule="auto"/>
        <w:jc w:val="both"/>
        <w:rPr>
          <w:rFonts w:ascii="Cambria" w:hAnsi="Cambria" w:cs="Cambria"/>
          <w:sz w:val="24"/>
          <w:szCs w:val="24"/>
        </w:rPr>
      </w:pPr>
      <w:r>
        <w:rPr>
          <w:rFonts w:ascii="Cambria" w:hAnsi="Cambria" w:cs="Cambria"/>
          <w:sz w:val="24"/>
          <w:szCs w:val="24"/>
        </w:rPr>
        <w:t>2.2 Power consumption model</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In the past, positioning technology only focused on the accuracy and latency enhancements. For Rel-18 LPHAP, one significant difference is to treat low power consumption as equal important as high accuracy, in order to suit the large amount of low-power UEs in the market. Therefore, how to evaluate the power consumption of different technical enhancements/approaches and further weigh </w:t>
      </w:r>
      <w:r>
        <w:rPr>
          <w:rFonts w:ascii="Times New Roman" w:hAnsi="Times New Roman"/>
          <w:sz w:val="20"/>
          <w:szCs w:val="20"/>
        </w:rPr>
        <w:t>the</w:t>
      </w:r>
      <w:r>
        <w:rPr>
          <w:rFonts w:hint="eastAsia" w:ascii="Times New Roman" w:hAnsi="Times New Roman"/>
          <w:sz w:val="20"/>
          <w:szCs w:val="20"/>
        </w:rPr>
        <w:t xml:space="preserve"> performance becomes a critical issue. To accomplish this, a unified power consumption model should be applied </w:t>
      </w:r>
      <w:r>
        <w:rPr>
          <w:rFonts w:ascii="Times New Roman" w:hAnsi="Times New Roman"/>
          <w:sz w:val="20"/>
          <w:szCs w:val="20"/>
        </w:rPr>
        <w:t xml:space="preserve">among companies for </w:t>
      </w:r>
      <w:r>
        <w:rPr>
          <w:rFonts w:hint="eastAsia" w:ascii="Times New Roman" w:hAnsi="Times New Roman"/>
          <w:sz w:val="20"/>
          <w:szCs w:val="20"/>
          <w:lang w:val="en-US" w:eastAsia="zh-CN"/>
        </w:rPr>
        <w:t>evaluation</w:t>
      </w:r>
      <w:r>
        <w:rPr>
          <w:rFonts w:hint="eastAsia" w:ascii="Times New Roman" w:hAnsi="Times New Roman"/>
          <w:sz w:val="20"/>
          <w:szCs w:val="20"/>
        </w:rPr>
        <w:t>.</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TS 38.840[4] section 8.1, the UE power consumption model (including relative power of different RS/channels sending/receiving and state transaction) is specified as below:</w:t>
      </w:r>
    </w:p>
    <w:p>
      <w:pPr>
        <w:pStyle w:val="58"/>
        <w:adjustRightInd w:val="0"/>
        <w:snapToGrid w:val="0"/>
        <w:spacing w:before="180" w:beforeLines="50" w:afterLines="50"/>
      </w:pPr>
      <w:r>
        <w:t>Table 18: UE power consumption model for FR1</w:t>
      </w:r>
    </w:p>
    <w:tbl>
      <w:tblPr>
        <w:tblStyle w:val="23"/>
        <w:tblW w:w="4999" w:type="pct"/>
        <w:jc w:val="center"/>
        <w:tblLayout w:type="autofit"/>
        <w:tblCellMar>
          <w:top w:w="0" w:type="dxa"/>
          <w:left w:w="0" w:type="dxa"/>
          <w:bottom w:w="0" w:type="dxa"/>
          <w:right w:w="0" w:type="dxa"/>
        </w:tblCellMar>
      </w:tblPr>
      <w:tblGrid>
        <w:gridCol w:w="1431"/>
        <w:gridCol w:w="5818"/>
        <w:gridCol w:w="2325"/>
      </w:tblGrid>
      <w:tr>
        <w:tblPrEx>
          <w:tblCellMar>
            <w:top w:w="0" w:type="dxa"/>
            <w:left w:w="0" w:type="dxa"/>
            <w:bottom w:w="0" w:type="dxa"/>
            <w:right w:w="0" w:type="dxa"/>
          </w:tblCellMar>
        </w:tblPrEx>
        <w:trPr>
          <w:trHeight w:val="90" w:hRule="atLeast"/>
          <w:jc w:val="center"/>
        </w:trPr>
        <w:tc>
          <w:tcPr>
            <w:tcW w:w="74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5"/>
              <w:adjustRightInd w:val="0"/>
              <w:snapToGrid w:val="0"/>
              <w:spacing w:before="180" w:beforeLines="50" w:after="180" w:afterLines="50"/>
              <w:jc w:val="both"/>
              <w:rPr>
                <w:lang w:val="en-US"/>
              </w:rPr>
            </w:pPr>
            <w:r>
              <w:rPr>
                <w:lang w:val="en-US"/>
              </w:rPr>
              <w:t>Power State</w:t>
            </w:r>
          </w:p>
        </w:tc>
        <w:tc>
          <w:tcPr>
            <w:tcW w:w="303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5"/>
              <w:adjustRightInd w:val="0"/>
              <w:snapToGrid w:val="0"/>
              <w:spacing w:before="180" w:beforeLines="50" w:after="180" w:afterLines="50"/>
              <w:jc w:val="both"/>
              <w:rPr>
                <w:lang w:val="en-US"/>
              </w:rPr>
            </w:pPr>
            <w:r>
              <w:rPr>
                <w:lang w:val="en-US"/>
              </w:rPr>
              <w:t>Characteristics</w:t>
            </w:r>
          </w:p>
        </w:tc>
        <w:tc>
          <w:tcPr>
            <w:tcW w:w="1214"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5"/>
              <w:adjustRightInd w:val="0"/>
              <w:snapToGrid w:val="0"/>
              <w:spacing w:before="180" w:beforeLines="50" w:after="180" w:afterLines="50"/>
              <w:jc w:val="both"/>
              <w:rPr>
                <w:lang w:val="en-US"/>
              </w:rPr>
            </w:pPr>
            <w:r>
              <w:rPr>
                <w:lang w:val="en-US"/>
              </w:rPr>
              <w:t xml:space="preserve">Relative Power </w:t>
            </w:r>
          </w:p>
        </w:tc>
      </w:tr>
      <w:tr>
        <w:tblPrEx>
          <w:tblCellMar>
            <w:top w:w="0" w:type="dxa"/>
            <w:left w:w="0" w:type="dxa"/>
            <w:bottom w:w="0" w:type="dxa"/>
            <w:right w:w="0" w:type="dxa"/>
          </w:tblCellMar>
        </w:tblPrEx>
        <w:trPr>
          <w:trHeight w:val="20" w:hRule="atLeast"/>
          <w:jc w:val="center"/>
        </w:trPr>
        <w:tc>
          <w:tcPr>
            <w:tcW w:w="74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rPr>
                <w:highlight w:val="yellow"/>
              </w:rPr>
            </w:pPr>
            <w:r>
              <w:rPr>
                <w:highlight w:val="yellow"/>
              </w:rPr>
              <w:t>Deep Sleep</w:t>
            </w:r>
          </w:p>
        </w:tc>
        <w:tc>
          <w:tcPr>
            <w:tcW w:w="303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rPr>
                <w:highlight w:val="yellow"/>
              </w:rPr>
            </w:pPr>
            <w:r>
              <w:rPr>
                <w:highlight w:val="yellow"/>
              </w:rPr>
              <w:t>Time interval for the sleep should be larger than the total transition time entering and leaving this state. Accurate timing may not be maintained.</w:t>
            </w:r>
          </w:p>
        </w:tc>
        <w:tc>
          <w:tcPr>
            <w:tcW w:w="1214"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rPr>
                <w:highlight w:val="yellow"/>
              </w:rPr>
            </w:pPr>
            <w:r>
              <w:rPr>
                <w:highlight w:val="yellow"/>
              </w:rPr>
              <w:t xml:space="preserve">1 </w:t>
            </w:r>
            <w:r>
              <w:rPr>
                <w:highlight w:val="yellow"/>
              </w:rPr>
              <w:br w:type="textWrapping"/>
            </w:r>
            <w:r>
              <w:rPr>
                <w:highlight w:val="yellow"/>
              </w:rPr>
              <w:t>(Optional: 0.5)</w:t>
            </w:r>
          </w:p>
        </w:tc>
      </w:tr>
      <w:tr>
        <w:tblPrEx>
          <w:tblCellMar>
            <w:top w:w="0" w:type="dxa"/>
            <w:left w:w="0" w:type="dxa"/>
            <w:bottom w:w="0" w:type="dxa"/>
            <w:right w:w="0" w:type="dxa"/>
          </w:tblCellMar>
        </w:tblPrEx>
        <w:trPr>
          <w:trHeight w:val="20" w:hRule="atLeast"/>
          <w:jc w:val="center"/>
        </w:trPr>
        <w:tc>
          <w:tcPr>
            <w:tcW w:w="74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rPr>
                <w:highlight w:val="yellow"/>
              </w:rPr>
            </w:pPr>
            <w:r>
              <w:rPr>
                <w:highlight w:val="yellow"/>
              </w:rPr>
              <w:t>Light Sleep</w:t>
            </w:r>
          </w:p>
        </w:tc>
        <w:tc>
          <w:tcPr>
            <w:tcW w:w="303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rPr>
                <w:highlight w:val="yellow"/>
              </w:rPr>
            </w:pPr>
            <w:r>
              <w:rPr>
                <w:highlight w:val="yellow"/>
              </w:rPr>
              <w:t xml:space="preserve">Time interval for the sleep should be larger than the total transition time entering and leaving this state. </w:t>
            </w:r>
          </w:p>
        </w:tc>
        <w:tc>
          <w:tcPr>
            <w:tcW w:w="1214"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rPr>
                <w:highlight w:val="yellow"/>
              </w:rPr>
            </w:pPr>
            <w:r>
              <w:rPr>
                <w:highlight w:val="yellow"/>
              </w:rPr>
              <w:t>20</w:t>
            </w:r>
          </w:p>
        </w:tc>
      </w:tr>
      <w:tr>
        <w:tblPrEx>
          <w:tblCellMar>
            <w:top w:w="0" w:type="dxa"/>
            <w:left w:w="0" w:type="dxa"/>
            <w:bottom w:w="0" w:type="dxa"/>
            <w:right w:w="0" w:type="dxa"/>
          </w:tblCellMar>
        </w:tblPrEx>
        <w:trPr>
          <w:trHeight w:val="20" w:hRule="atLeast"/>
          <w:jc w:val="center"/>
        </w:trPr>
        <w:tc>
          <w:tcPr>
            <w:tcW w:w="74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rPr>
                <w:highlight w:val="yellow"/>
              </w:rPr>
            </w:pPr>
            <w:r>
              <w:rPr>
                <w:highlight w:val="yellow"/>
              </w:rPr>
              <w:t>Micro sleep</w:t>
            </w:r>
          </w:p>
        </w:tc>
        <w:tc>
          <w:tcPr>
            <w:tcW w:w="303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rPr>
                <w:highlight w:val="yellow"/>
              </w:rPr>
            </w:pPr>
            <w:r>
              <w:rPr>
                <w:highlight w:val="yellow"/>
              </w:rPr>
              <w:t>Immediate transition is assumed for power saving study purpose from or to a non-sleep state</w:t>
            </w:r>
          </w:p>
        </w:tc>
        <w:tc>
          <w:tcPr>
            <w:tcW w:w="1214"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57"/>
              <w:adjustRightInd w:val="0"/>
              <w:snapToGrid w:val="0"/>
              <w:spacing w:before="180" w:beforeLines="50" w:after="180" w:afterLines="50" w:line="240" w:lineRule="auto"/>
              <w:jc w:val="both"/>
              <w:rPr>
                <w:highlight w:val="yellow"/>
              </w:rPr>
            </w:pPr>
            <w:r>
              <w:rPr>
                <w:highlight w:val="yellow"/>
              </w:rPr>
              <w:t>45</w:t>
            </w:r>
          </w:p>
        </w:tc>
      </w:tr>
      <w:tr>
        <w:tblPrEx>
          <w:tblCellMar>
            <w:top w:w="0" w:type="dxa"/>
            <w:left w:w="0" w:type="dxa"/>
            <w:bottom w:w="0" w:type="dxa"/>
            <w:right w:w="0" w:type="dxa"/>
          </w:tblCellMar>
        </w:tblPrEx>
        <w:trPr>
          <w:trHeight w:val="20" w:hRule="atLeast"/>
          <w:jc w:val="center"/>
        </w:trPr>
        <w:tc>
          <w:tcPr>
            <w:tcW w:w="74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PDCCH-only</w:t>
            </w:r>
          </w:p>
        </w:tc>
        <w:tc>
          <w:tcPr>
            <w:tcW w:w="303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 xml:space="preserve">No PDSCH and same-slot scheduling; this includes time for PDCCH decoding and any micro-sleep within the slot. </w:t>
            </w:r>
          </w:p>
        </w:tc>
        <w:tc>
          <w:tcPr>
            <w:tcW w:w="1214"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57"/>
              <w:adjustRightInd w:val="0"/>
              <w:snapToGrid w:val="0"/>
              <w:spacing w:before="180" w:beforeLines="50" w:after="180" w:afterLines="50" w:line="240" w:lineRule="auto"/>
              <w:jc w:val="both"/>
            </w:pPr>
            <w:r>
              <w:t>100</w:t>
            </w:r>
          </w:p>
        </w:tc>
      </w:tr>
      <w:tr>
        <w:tblPrEx>
          <w:tblCellMar>
            <w:top w:w="0" w:type="dxa"/>
            <w:left w:w="0" w:type="dxa"/>
            <w:bottom w:w="0" w:type="dxa"/>
            <w:right w:w="0" w:type="dxa"/>
          </w:tblCellMar>
        </w:tblPrEx>
        <w:trPr>
          <w:trHeight w:val="20" w:hRule="atLeast"/>
          <w:jc w:val="center"/>
        </w:trPr>
        <w:tc>
          <w:tcPr>
            <w:tcW w:w="74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 xml:space="preserve">SSB or </w:t>
            </w:r>
            <w:r>
              <w:br w:type="textWrapping"/>
            </w:r>
            <w:r>
              <w:t>CSI-RS proc.</w:t>
            </w:r>
          </w:p>
        </w:tc>
        <w:tc>
          <w:tcPr>
            <w:tcW w:w="303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SSB can be used for fine time-frequency sync. and RSRP measurement of the serving/camping cell. TRS is the considered CSI-RS for sync. FFS the power scaling for processing other configurations of CSI-RS.</w:t>
            </w:r>
          </w:p>
        </w:tc>
        <w:tc>
          <w:tcPr>
            <w:tcW w:w="1214"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57"/>
              <w:adjustRightInd w:val="0"/>
              <w:snapToGrid w:val="0"/>
              <w:spacing w:before="180" w:beforeLines="50" w:after="180" w:afterLines="50" w:line="240" w:lineRule="auto"/>
              <w:jc w:val="both"/>
            </w:pPr>
            <w:r>
              <w:t>100</w:t>
            </w:r>
          </w:p>
        </w:tc>
      </w:tr>
      <w:tr>
        <w:tblPrEx>
          <w:tblCellMar>
            <w:top w:w="0" w:type="dxa"/>
            <w:left w:w="0" w:type="dxa"/>
            <w:bottom w:w="0" w:type="dxa"/>
            <w:right w:w="0" w:type="dxa"/>
          </w:tblCellMar>
        </w:tblPrEx>
        <w:trPr>
          <w:trHeight w:val="20" w:hRule="atLeast"/>
          <w:jc w:val="center"/>
        </w:trPr>
        <w:tc>
          <w:tcPr>
            <w:tcW w:w="74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PDCCH + PDSCH</w:t>
            </w:r>
          </w:p>
        </w:tc>
        <w:tc>
          <w:tcPr>
            <w:tcW w:w="303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 xml:space="preserve">PDCCH + PDSCH. ACK/NACK in long PUCCH is modeled by UL power state. </w:t>
            </w:r>
          </w:p>
        </w:tc>
        <w:tc>
          <w:tcPr>
            <w:tcW w:w="1214"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57"/>
              <w:adjustRightInd w:val="0"/>
              <w:snapToGrid w:val="0"/>
              <w:spacing w:before="180" w:beforeLines="50" w:after="180" w:afterLines="50" w:line="240" w:lineRule="auto"/>
              <w:jc w:val="both"/>
            </w:pPr>
            <w:r>
              <w:t xml:space="preserve">300 </w:t>
            </w:r>
          </w:p>
        </w:tc>
      </w:tr>
      <w:tr>
        <w:tblPrEx>
          <w:tblCellMar>
            <w:top w:w="0" w:type="dxa"/>
            <w:left w:w="0" w:type="dxa"/>
            <w:bottom w:w="0" w:type="dxa"/>
            <w:right w:w="0" w:type="dxa"/>
          </w:tblCellMar>
        </w:tblPrEx>
        <w:trPr>
          <w:trHeight w:val="20" w:hRule="atLeast"/>
          <w:jc w:val="center"/>
        </w:trPr>
        <w:tc>
          <w:tcPr>
            <w:tcW w:w="747"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rPr>
                <w:highlight w:val="yellow"/>
              </w:rPr>
            </w:pPr>
            <w:r>
              <w:rPr>
                <w:highlight w:val="yellow"/>
              </w:rPr>
              <w:t>UL</w:t>
            </w:r>
          </w:p>
        </w:tc>
        <w:tc>
          <w:tcPr>
            <w:tcW w:w="303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rPr>
                <w:highlight w:val="yellow"/>
              </w:rPr>
            </w:pPr>
            <w:r>
              <w:rPr>
                <w:highlight w:val="yellow"/>
              </w:rPr>
              <w:t xml:space="preserve">Long PUCCH or PUSCH. </w:t>
            </w:r>
          </w:p>
        </w:tc>
        <w:tc>
          <w:tcPr>
            <w:tcW w:w="1214"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rPr>
                <w:highlight w:val="yellow"/>
              </w:rPr>
            </w:pPr>
            <w:r>
              <w:rPr>
                <w:highlight w:val="yellow"/>
              </w:rPr>
              <w:t>250 (0 dBm)</w:t>
            </w:r>
          </w:p>
          <w:p>
            <w:pPr>
              <w:pStyle w:val="57"/>
              <w:adjustRightInd w:val="0"/>
              <w:snapToGrid w:val="0"/>
              <w:spacing w:before="180" w:beforeLines="50" w:after="180" w:afterLines="50" w:line="240" w:lineRule="auto"/>
              <w:jc w:val="both"/>
              <w:rPr>
                <w:highlight w:val="yellow"/>
              </w:rPr>
            </w:pPr>
            <w:r>
              <w:rPr>
                <w:highlight w:val="yellow"/>
              </w:rPr>
              <w:t>700 (23 dBm)</w:t>
            </w:r>
          </w:p>
        </w:tc>
      </w:tr>
    </w:tbl>
    <w:p>
      <w:pPr>
        <w:adjustRightInd w:val="0"/>
        <w:snapToGrid w:val="0"/>
        <w:spacing w:before="180" w:beforeLines="50" w:after="180" w:afterLines="50" w:line="240" w:lineRule="auto"/>
        <w:jc w:val="both"/>
      </w:pPr>
    </w:p>
    <w:p>
      <w:pPr>
        <w:pStyle w:val="58"/>
        <w:adjustRightInd w:val="0"/>
        <w:snapToGrid w:val="0"/>
        <w:spacing w:before="180" w:beforeLines="50" w:afterLines="50"/>
        <w:rPr>
          <w:lang w:val="en-US"/>
        </w:rPr>
      </w:pPr>
      <w:r>
        <w:t xml:space="preserve">Table 19: UE power consumption during the state </w:t>
      </w:r>
      <w:r>
        <w:rPr>
          <w:highlight w:val="none"/>
        </w:rPr>
        <w:t>transition</w:t>
      </w:r>
    </w:p>
    <w:tbl>
      <w:tblPr>
        <w:tblStyle w:val="23"/>
        <w:tblW w:w="4998" w:type="pct"/>
        <w:jc w:val="center"/>
        <w:tblLayout w:type="autofit"/>
        <w:tblCellMar>
          <w:top w:w="0" w:type="dxa"/>
          <w:left w:w="0" w:type="dxa"/>
          <w:bottom w:w="0" w:type="dxa"/>
          <w:right w:w="0" w:type="dxa"/>
        </w:tblCellMar>
      </w:tblPr>
      <w:tblGrid>
        <w:gridCol w:w="1937"/>
        <w:gridCol w:w="3630"/>
        <w:gridCol w:w="4077"/>
      </w:tblGrid>
      <w:tr>
        <w:tblPrEx>
          <w:tblCellMar>
            <w:top w:w="0" w:type="dxa"/>
            <w:left w:w="0" w:type="dxa"/>
            <w:bottom w:w="0" w:type="dxa"/>
            <w:right w:w="0" w:type="dxa"/>
          </w:tblCellMar>
        </w:tblPrEx>
        <w:trPr>
          <w:trHeight w:val="20" w:hRule="atLeast"/>
          <w:jc w:val="center"/>
        </w:trPr>
        <w:tc>
          <w:tcPr>
            <w:tcW w:w="1004"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adjustRightInd w:val="0"/>
              <w:snapToGrid w:val="0"/>
              <w:spacing w:before="180" w:beforeLines="50" w:after="180" w:afterLines="50"/>
              <w:jc w:val="both"/>
              <w:rPr>
                <w:lang w:val="en-US"/>
              </w:rPr>
            </w:pPr>
            <w:r>
              <w:rPr>
                <w:lang w:val="en-US"/>
              </w:rPr>
              <w:t>Sleep type</w:t>
            </w:r>
          </w:p>
        </w:tc>
        <w:tc>
          <w:tcPr>
            <w:tcW w:w="1882"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adjustRightInd w:val="0"/>
              <w:snapToGrid w:val="0"/>
              <w:spacing w:before="180" w:beforeLines="50" w:after="180" w:afterLines="50"/>
              <w:jc w:val="both"/>
              <w:rPr>
                <w:lang w:val="en-US"/>
              </w:rPr>
            </w:pPr>
            <w:r>
              <w:rPr>
                <w:lang w:val="en-US"/>
              </w:rPr>
              <w:t>Additional transition energy:</w:t>
            </w:r>
          </w:p>
          <w:p>
            <w:pPr>
              <w:pStyle w:val="55"/>
              <w:adjustRightInd w:val="0"/>
              <w:snapToGrid w:val="0"/>
              <w:spacing w:before="180" w:beforeLines="50" w:after="180" w:afterLines="50"/>
              <w:jc w:val="both"/>
              <w:rPr>
                <w:lang w:val="en-US"/>
              </w:rPr>
            </w:pPr>
            <w:r>
              <w:rPr>
                <w:lang w:val="en-US"/>
              </w:rPr>
              <w:t xml:space="preserve">(Relative power x  ms) </w:t>
            </w:r>
          </w:p>
        </w:tc>
        <w:tc>
          <w:tcPr>
            <w:tcW w:w="2113"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vAlign w:val="center"/>
          </w:tcPr>
          <w:p>
            <w:pPr>
              <w:pStyle w:val="55"/>
              <w:adjustRightInd w:val="0"/>
              <w:snapToGrid w:val="0"/>
              <w:spacing w:before="180" w:beforeLines="50" w:after="180" w:afterLines="50"/>
              <w:jc w:val="both"/>
              <w:rPr>
                <w:lang w:val="en-US"/>
              </w:rPr>
            </w:pPr>
            <w:r>
              <w:rPr>
                <w:lang w:val="en-US"/>
              </w:rPr>
              <w:t xml:space="preserve">Total transition time </w:t>
            </w:r>
          </w:p>
        </w:tc>
      </w:tr>
      <w:tr>
        <w:tblPrEx>
          <w:tblCellMar>
            <w:top w:w="0" w:type="dxa"/>
            <w:left w:w="0" w:type="dxa"/>
            <w:bottom w:w="0" w:type="dxa"/>
            <w:right w:w="0" w:type="dxa"/>
          </w:tblCellMar>
        </w:tblPrEx>
        <w:trPr>
          <w:trHeight w:val="20" w:hRule="atLeast"/>
          <w:jc w:val="center"/>
        </w:trPr>
        <w:tc>
          <w:tcPr>
            <w:tcW w:w="1004"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adjustRightInd w:val="0"/>
              <w:snapToGrid w:val="0"/>
              <w:spacing w:before="180" w:beforeLines="50" w:after="180" w:afterLines="50" w:line="240" w:lineRule="auto"/>
              <w:jc w:val="both"/>
              <w:rPr>
                <w:highlight w:val="yellow"/>
              </w:rPr>
            </w:pPr>
            <w:r>
              <w:rPr>
                <w:highlight w:val="yellow"/>
              </w:rPr>
              <w:t xml:space="preserve">Deep sleep </w:t>
            </w:r>
          </w:p>
        </w:tc>
        <w:tc>
          <w:tcPr>
            <w:tcW w:w="1882"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adjustRightInd w:val="0"/>
              <w:snapToGrid w:val="0"/>
              <w:spacing w:before="180" w:beforeLines="50" w:after="180" w:afterLines="50" w:line="240" w:lineRule="auto"/>
              <w:jc w:val="both"/>
              <w:rPr>
                <w:highlight w:val="yellow"/>
              </w:rPr>
            </w:pPr>
            <w:r>
              <w:rPr>
                <w:highlight w:val="yellow"/>
              </w:rPr>
              <w:t xml:space="preserve">450 </w:t>
            </w:r>
          </w:p>
        </w:tc>
        <w:tc>
          <w:tcPr>
            <w:tcW w:w="2113"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adjustRightInd w:val="0"/>
              <w:snapToGrid w:val="0"/>
              <w:spacing w:before="180" w:beforeLines="50" w:after="180" w:afterLines="50" w:line="240" w:lineRule="auto"/>
              <w:jc w:val="both"/>
              <w:rPr>
                <w:highlight w:val="yellow"/>
              </w:rPr>
            </w:pPr>
            <w:r>
              <w:rPr>
                <w:highlight w:val="yellow"/>
              </w:rPr>
              <w:t xml:space="preserve">20 ms </w:t>
            </w:r>
          </w:p>
        </w:tc>
      </w:tr>
      <w:tr>
        <w:tblPrEx>
          <w:tblCellMar>
            <w:top w:w="0" w:type="dxa"/>
            <w:left w:w="0" w:type="dxa"/>
            <w:bottom w:w="0" w:type="dxa"/>
            <w:right w:w="0" w:type="dxa"/>
          </w:tblCellMar>
        </w:tblPrEx>
        <w:trPr>
          <w:trHeight w:val="20" w:hRule="atLeast"/>
          <w:jc w:val="center"/>
        </w:trPr>
        <w:tc>
          <w:tcPr>
            <w:tcW w:w="1004"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adjustRightInd w:val="0"/>
              <w:snapToGrid w:val="0"/>
              <w:spacing w:before="180" w:beforeLines="50" w:after="180" w:afterLines="50" w:line="240" w:lineRule="auto"/>
              <w:jc w:val="both"/>
              <w:rPr>
                <w:highlight w:val="yellow"/>
              </w:rPr>
            </w:pPr>
            <w:r>
              <w:rPr>
                <w:highlight w:val="yellow"/>
              </w:rPr>
              <w:t xml:space="preserve">Light sleep </w:t>
            </w:r>
          </w:p>
        </w:tc>
        <w:tc>
          <w:tcPr>
            <w:tcW w:w="1882"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adjustRightInd w:val="0"/>
              <w:snapToGrid w:val="0"/>
              <w:spacing w:before="180" w:beforeLines="50" w:after="180" w:afterLines="50" w:line="240" w:lineRule="auto"/>
              <w:jc w:val="both"/>
              <w:rPr>
                <w:highlight w:val="yellow"/>
              </w:rPr>
            </w:pPr>
            <w:r>
              <w:rPr>
                <w:highlight w:val="yellow"/>
              </w:rPr>
              <w:t xml:space="preserve">100 </w:t>
            </w:r>
          </w:p>
        </w:tc>
        <w:tc>
          <w:tcPr>
            <w:tcW w:w="2113"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adjustRightInd w:val="0"/>
              <w:snapToGrid w:val="0"/>
              <w:spacing w:before="180" w:beforeLines="50" w:after="180" w:afterLines="50" w:line="240" w:lineRule="auto"/>
              <w:jc w:val="both"/>
              <w:rPr>
                <w:highlight w:val="yellow"/>
              </w:rPr>
            </w:pPr>
            <w:r>
              <w:rPr>
                <w:highlight w:val="yellow"/>
              </w:rPr>
              <w:t xml:space="preserve">6 ms </w:t>
            </w:r>
          </w:p>
        </w:tc>
      </w:tr>
      <w:tr>
        <w:tblPrEx>
          <w:tblCellMar>
            <w:top w:w="0" w:type="dxa"/>
            <w:left w:w="0" w:type="dxa"/>
            <w:bottom w:w="0" w:type="dxa"/>
            <w:right w:w="0" w:type="dxa"/>
          </w:tblCellMar>
        </w:tblPrEx>
        <w:trPr>
          <w:trHeight w:val="20" w:hRule="atLeast"/>
          <w:jc w:val="center"/>
        </w:trPr>
        <w:tc>
          <w:tcPr>
            <w:tcW w:w="1004"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adjustRightInd w:val="0"/>
              <w:snapToGrid w:val="0"/>
              <w:spacing w:before="180" w:beforeLines="50" w:after="180" w:afterLines="50" w:line="240" w:lineRule="auto"/>
              <w:jc w:val="both"/>
              <w:rPr>
                <w:highlight w:val="yellow"/>
              </w:rPr>
            </w:pPr>
            <w:r>
              <w:rPr>
                <w:highlight w:val="yellow"/>
              </w:rPr>
              <w:t xml:space="preserve">Micro sleep </w:t>
            </w:r>
          </w:p>
        </w:tc>
        <w:tc>
          <w:tcPr>
            <w:tcW w:w="1882"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adjustRightInd w:val="0"/>
              <w:snapToGrid w:val="0"/>
              <w:spacing w:before="180" w:beforeLines="50" w:after="180" w:afterLines="50" w:line="240" w:lineRule="auto"/>
              <w:jc w:val="both"/>
              <w:rPr>
                <w:highlight w:val="yellow"/>
              </w:rPr>
            </w:pPr>
            <w:r>
              <w:rPr>
                <w:highlight w:val="yellow"/>
              </w:rPr>
              <w:t xml:space="preserve">0 </w:t>
            </w:r>
          </w:p>
        </w:tc>
        <w:tc>
          <w:tcPr>
            <w:tcW w:w="2113" w:type="pct"/>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7"/>
              <w:adjustRightInd w:val="0"/>
              <w:snapToGrid w:val="0"/>
              <w:spacing w:before="180" w:beforeLines="50" w:after="180" w:afterLines="50" w:line="240" w:lineRule="auto"/>
              <w:jc w:val="both"/>
              <w:rPr>
                <w:highlight w:val="yellow"/>
              </w:rPr>
            </w:pPr>
            <w:r>
              <w:rPr>
                <w:highlight w:val="yellow"/>
              </w:rPr>
              <w:t xml:space="preserve">0 ms* </w:t>
            </w:r>
          </w:p>
        </w:tc>
      </w:tr>
      <w:tr>
        <w:tblPrEx>
          <w:tblCellMar>
            <w:top w:w="0" w:type="dxa"/>
            <w:left w:w="0" w:type="dxa"/>
            <w:bottom w:w="0" w:type="dxa"/>
            <w:right w:w="0" w:type="dxa"/>
          </w:tblCellMar>
        </w:tblPrEx>
        <w:trPr>
          <w:trHeight w:val="20" w:hRule="atLeast"/>
          <w:jc w:val="center"/>
        </w:trPr>
        <w:tc>
          <w:tcPr>
            <w:tcW w:w="5000" w:type="pct"/>
            <w:gridSpan w:val="3"/>
            <w:tcBorders>
              <w:top w:val="single" w:color="000000" w:sz="8" w:space="0"/>
              <w:left w:val="single" w:color="000000" w:sz="8" w:space="0"/>
              <w:bottom w:val="single" w:color="000000" w:sz="8" w:space="0"/>
              <w:right w:val="single" w:color="000000" w:sz="8" w:space="0"/>
            </w:tcBorders>
            <w:shd w:val="clear" w:color="auto" w:fill="auto"/>
            <w:tcMar>
              <w:top w:w="72" w:type="dxa"/>
              <w:left w:w="144" w:type="dxa"/>
              <w:bottom w:w="72" w:type="dxa"/>
              <w:right w:w="144" w:type="dxa"/>
            </w:tcMar>
          </w:tcPr>
          <w:p>
            <w:pPr>
              <w:pStyle w:val="59"/>
              <w:adjustRightInd w:val="0"/>
              <w:snapToGrid w:val="0"/>
              <w:spacing w:before="180" w:beforeLines="50" w:after="180" w:afterLines="50"/>
              <w:jc w:val="both"/>
              <w:rPr>
                <w:lang w:val="en-US"/>
              </w:rPr>
            </w:pPr>
            <w:r>
              <w:rPr>
                <w:lang w:val="en-US"/>
              </w:rPr>
              <w:t>*</w:t>
            </w:r>
            <w:r>
              <w:rPr>
                <w:lang w:val="en-US"/>
              </w:rPr>
              <w:tab/>
            </w:r>
            <w:r>
              <w:rPr>
                <w:lang w:val="en-US"/>
              </w:rPr>
              <w:t>Immediate transition is assumed for power saving study purpose from or to a non-sleep state</w:t>
            </w:r>
          </w:p>
        </w:tc>
      </w:tr>
    </w:tbl>
    <w:p>
      <w:pPr>
        <w:adjustRightInd w:val="0"/>
        <w:snapToGrid w:val="0"/>
        <w:spacing w:before="180" w:beforeLines="50" w:after="180" w:afterLines="50" w:line="240" w:lineRule="auto"/>
        <w:jc w:val="both"/>
        <w:rPr>
          <w:rFonts w:ascii="Times New Roman" w:hAnsi="Times New Roman" w:eastAsia="宋体"/>
          <w:sz w:val="20"/>
          <w:szCs w:val="20"/>
          <w:lang w:val="en-GB" w:eastAsia="en-GB"/>
        </w:rPr>
      </w:pPr>
    </w:p>
    <w:p>
      <w:pPr>
        <w:pStyle w:val="58"/>
        <w:adjustRightInd w:val="0"/>
        <w:snapToGrid w:val="0"/>
        <w:spacing w:before="180" w:beforeLines="50" w:afterLines="50"/>
      </w:pPr>
      <w:bookmarkStart w:id="6" w:name="_Ref528491787"/>
      <w:r>
        <w:t>Table 21</w:t>
      </w:r>
      <w:bookmarkEnd w:id="6"/>
      <w:r>
        <w:t>: UE power consumption scaling for adaptation</w:t>
      </w:r>
    </w:p>
    <w:tbl>
      <w:tblPr>
        <w:tblStyle w:val="23"/>
        <w:tblW w:w="4999" w:type="pct"/>
        <w:tblInd w:w="0" w:type="dxa"/>
        <w:tblLayout w:type="autofit"/>
        <w:tblCellMar>
          <w:top w:w="0" w:type="dxa"/>
          <w:left w:w="0" w:type="dxa"/>
          <w:bottom w:w="0" w:type="dxa"/>
          <w:right w:w="0" w:type="dxa"/>
        </w:tblCellMar>
      </w:tblPr>
      <w:tblGrid>
        <w:gridCol w:w="1860"/>
        <w:gridCol w:w="3827"/>
        <w:gridCol w:w="3887"/>
      </w:tblGrid>
      <w:tr>
        <w:trPr>
          <w:trHeight w:val="437" w:hRule="atLeast"/>
        </w:trPr>
        <w:tc>
          <w:tcPr>
            <w:tcW w:w="971"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5"/>
              <w:adjustRightInd w:val="0"/>
              <w:snapToGrid w:val="0"/>
              <w:spacing w:before="180" w:beforeLines="50" w:after="180" w:afterLines="50"/>
              <w:jc w:val="both"/>
            </w:pPr>
            <w:r>
              <w:t>Scaling for FR1</w:t>
            </w:r>
          </w:p>
        </w:tc>
        <w:tc>
          <w:tcPr>
            <w:tcW w:w="199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5"/>
              <w:adjustRightInd w:val="0"/>
              <w:snapToGrid w:val="0"/>
              <w:spacing w:before="180" w:beforeLines="50" w:after="180" w:afterLines="50"/>
              <w:jc w:val="both"/>
            </w:pPr>
            <w:r>
              <w:t>Proposal</w:t>
            </w:r>
          </w:p>
        </w:tc>
        <w:tc>
          <w:tcPr>
            <w:tcW w:w="2029"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5"/>
              <w:adjustRightInd w:val="0"/>
              <w:snapToGrid w:val="0"/>
              <w:spacing w:before="180" w:beforeLines="50" w:after="180" w:afterLines="50"/>
              <w:jc w:val="both"/>
            </w:pPr>
            <w:r>
              <w:t>Comment</w:t>
            </w:r>
          </w:p>
        </w:tc>
      </w:tr>
      <w:tr>
        <w:tblPrEx>
          <w:tblCellMar>
            <w:top w:w="0" w:type="dxa"/>
            <w:left w:w="0" w:type="dxa"/>
            <w:bottom w:w="0" w:type="dxa"/>
            <w:right w:w="0" w:type="dxa"/>
          </w:tblCellMar>
        </w:tblPrEx>
        <w:trPr>
          <w:trHeight w:val="20" w:hRule="atLeast"/>
        </w:trPr>
        <w:tc>
          <w:tcPr>
            <w:tcW w:w="971"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BWP Bandwidth (DL)</w:t>
            </w:r>
          </w:p>
        </w:tc>
        <w:tc>
          <w:tcPr>
            <w:tcW w:w="199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Scaling of X MHz = 0.4 + 0.6 * (X - 20) / 80. Linear interpolation for intermediate bandwidths. Valid only for X = 10, 20, 40, 80, and 100.</w:t>
            </w:r>
          </w:p>
          <w:p>
            <w:pPr>
              <w:pStyle w:val="57"/>
              <w:adjustRightInd w:val="0"/>
              <w:snapToGrid w:val="0"/>
              <w:spacing w:before="180" w:beforeLines="50" w:after="180" w:afterLines="50" w:line="240" w:lineRule="auto"/>
              <w:jc w:val="both"/>
            </w:pPr>
            <w:r>
              <w:t>Above scaling is applicable for FR1 only.</w:t>
            </w:r>
          </w:p>
          <w:p>
            <w:pPr>
              <w:pStyle w:val="57"/>
              <w:adjustRightInd w:val="0"/>
              <w:snapToGrid w:val="0"/>
              <w:spacing w:before="180" w:beforeLines="50" w:after="180" w:afterLines="50" w:line="240" w:lineRule="auto"/>
              <w:jc w:val="both"/>
            </w:pPr>
            <w:r>
              <w:t>In case scaling is needed for FR2, companies can report the assumed scaling factor.</w:t>
            </w:r>
          </w:p>
        </w:tc>
        <w:tc>
          <w:tcPr>
            <w:tcW w:w="2029"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For 10MHz BW, only AL up to 8 can be used for PDCCH</w:t>
            </w:r>
          </w:p>
          <w:p>
            <w:pPr>
              <w:pStyle w:val="57"/>
              <w:adjustRightInd w:val="0"/>
              <w:snapToGrid w:val="0"/>
              <w:spacing w:before="180" w:beforeLines="50" w:after="180" w:afterLines="50" w:line="240" w:lineRule="auto"/>
              <w:jc w:val="both"/>
            </w:pPr>
            <w:r>
              <w:t>The transition time is the same as DCI-based BWP switching delay for Rel-15.</w:t>
            </w:r>
          </w:p>
          <w:p>
            <w:pPr>
              <w:pStyle w:val="57"/>
              <w:adjustRightInd w:val="0"/>
              <w:snapToGrid w:val="0"/>
              <w:spacing w:before="180" w:beforeLines="50" w:after="180" w:afterLines="50" w:line="240" w:lineRule="auto"/>
              <w:jc w:val="both"/>
            </w:pPr>
          </w:p>
          <w:p>
            <w:pPr>
              <w:pStyle w:val="57"/>
              <w:adjustRightInd w:val="0"/>
              <w:snapToGrid w:val="0"/>
              <w:spacing w:before="180" w:beforeLines="50" w:after="180" w:afterLines="50" w:line="240" w:lineRule="auto"/>
              <w:jc w:val="both"/>
            </w:pPr>
            <w:r>
              <w:t>If the power after scaling is smaller than the BWP transition power, assume the BWP transition power as the output of scaling unless otherwise justified.</w:t>
            </w:r>
          </w:p>
        </w:tc>
      </w:tr>
      <w:tr>
        <w:tblPrEx>
          <w:tblCellMar>
            <w:top w:w="0" w:type="dxa"/>
            <w:left w:w="0" w:type="dxa"/>
            <w:bottom w:w="0" w:type="dxa"/>
            <w:right w:w="0" w:type="dxa"/>
          </w:tblCellMar>
        </w:tblPrEx>
        <w:trPr>
          <w:trHeight w:val="20" w:hRule="atLeast"/>
        </w:trPr>
        <w:tc>
          <w:tcPr>
            <w:tcW w:w="971"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BWP Bandwidth (UL)</w:t>
            </w:r>
          </w:p>
        </w:tc>
        <w:tc>
          <w:tcPr>
            <w:tcW w:w="199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No scaling at 0dBm or 23dBm</w:t>
            </w:r>
          </w:p>
          <w:p>
            <w:pPr>
              <w:pStyle w:val="57"/>
              <w:adjustRightInd w:val="0"/>
              <w:snapToGrid w:val="0"/>
              <w:spacing w:before="180" w:beforeLines="50" w:after="180" w:afterLines="50" w:line="240" w:lineRule="auto"/>
              <w:jc w:val="both"/>
            </w:pPr>
            <w:r>
              <w:t>Above scaling is applicable for FR1 only.</w:t>
            </w:r>
          </w:p>
          <w:p>
            <w:pPr>
              <w:pStyle w:val="57"/>
              <w:adjustRightInd w:val="0"/>
              <w:snapToGrid w:val="0"/>
              <w:spacing w:before="180" w:beforeLines="50" w:after="180" w:afterLines="50" w:line="240" w:lineRule="auto"/>
              <w:jc w:val="both"/>
            </w:pPr>
            <w:r>
              <w:t>In case scaling is needed for FR2, companies can report the assumed scaling factor.</w:t>
            </w:r>
          </w:p>
        </w:tc>
        <w:tc>
          <w:tcPr>
            <w:tcW w:w="2029"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p>
        </w:tc>
      </w:tr>
      <w:tr>
        <w:tblPrEx>
          <w:tblCellMar>
            <w:top w:w="0" w:type="dxa"/>
            <w:left w:w="0" w:type="dxa"/>
            <w:bottom w:w="0" w:type="dxa"/>
            <w:right w:w="0" w:type="dxa"/>
          </w:tblCellMar>
        </w:tblPrEx>
        <w:trPr>
          <w:trHeight w:val="20" w:hRule="atLeast"/>
        </w:trPr>
        <w:tc>
          <w:tcPr>
            <w:tcW w:w="971"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CA (DL)</w:t>
            </w:r>
          </w:p>
        </w:tc>
        <w:tc>
          <w:tcPr>
            <w:tcW w:w="199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2CC is 1.7x1CC</w:t>
            </w:r>
          </w:p>
          <w:p>
            <w:pPr>
              <w:pStyle w:val="57"/>
              <w:adjustRightInd w:val="0"/>
              <w:snapToGrid w:val="0"/>
              <w:spacing w:before="180" w:beforeLines="50" w:after="180" w:afterLines="50" w:line="240" w:lineRule="auto"/>
              <w:jc w:val="both"/>
            </w:pPr>
            <w:r>
              <w:t>4CC is 3.4x1CC (i.e. 2x 2CC)</w:t>
            </w:r>
          </w:p>
          <w:p>
            <w:pPr>
              <w:pStyle w:val="57"/>
              <w:adjustRightInd w:val="0"/>
              <w:snapToGrid w:val="0"/>
              <w:spacing w:before="180" w:beforeLines="50" w:after="180" w:afterLines="50" w:line="240" w:lineRule="auto"/>
              <w:jc w:val="both"/>
            </w:pPr>
            <w:r>
              <w:t>Above refers to the worst case CA configuration in terms of power consumption.</w:t>
            </w:r>
          </w:p>
        </w:tc>
        <w:tc>
          <w:tcPr>
            <w:tcW w:w="2029"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Activation/deactivation delay follows RAN4 specification; FFS transition energy</w:t>
            </w:r>
          </w:p>
          <w:p>
            <w:pPr>
              <w:pStyle w:val="57"/>
              <w:adjustRightInd w:val="0"/>
              <w:snapToGrid w:val="0"/>
              <w:spacing w:before="180" w:beforeLines="50" w:after="180" w:afterLines="50" w:line="240" w:lineRule="auto"/>
              <w:jc w:val="both"/>
            </w:pPr>
            <w:r>
              <w:t>Applicable for FR1 and FR2</w:t>
            </w:r>
          </w:p>
        </w:tc>
      </w:tr>
      <w:tr>
        <w:tblPrEx>
          <w:tblCellMar>
            <w:top w:w="0" w:type="dxa"/>
            <w:left w:w="0" w:type="dxa"/>
            <w:bottom w:w="0" w:type="dxa"/>
            <w:right w:w="0" w:type="dxa"/>
          </w:tblCellMar>
        </w:tblPrEx>
        <w:trPr>
          <w:trHeight w:val="20" w:hRule="atLeast"/>
        </w:trPr>
        <w:tc>
          <w:tcPr>
            <w:tcW w:w="971"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CA (UL)</w:t>
            </w:r>
          </w:p>
        </w:tc>
        <w:tc>
          <w:tcPr>
            <w:tcW w:w="199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Same as downlink at 0dBm. No scaling at 23dBm</w:t>
            </w:r>
          </w:p>
          <w:p>
            <w:pPr>
              <w:pStyle w:val="57"/>
              <w:adjustRightInd w:val="0"/>
              <w:snapToGrid w:val="0"/>
              <w:spacing w:before="180" w:beforeLines="50" w:after="180" w:afterLines="50" w:line="240" w:lineRule="auto"/>
              <w:jc w:val="both"/>
            </w:pPr>
            <w:r>
              <w:t>2CC is 1.2x1CC at 23dBm</w:t>
            </w:r>
          </w:p>
          <w:p>
            <w:pPr>
              <w:pStyle w:val="57"/>
              <w:adjustRightInd w:val="0"/>
              <w:snapToGrid w:val="0"/>
              <w:spacing w:before="180" w:beforeLines="50" w:after="180" w:afterLines="50" w:line="240" w:lineRule="auto"/>
              <w:jc w:val="both"/>
            </w:pPr>
            <w:r>
              <w:t>Limit scaling up to 2CC.</w:t>
            </w:r>
          </w:p>
        </w:tc>
        <w:tc>
          <w:tcPr>
            <w:tcW w:w="2029"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Applicable for FR1 and FR2</w:t>
            </w:r>
          </w:p>
        </w:tc>
      </w:tr>
      <w:tr>
        <w:tblPrEx>
          <w:tblCellMar>
            <w:top w:w="0" w:type="dxa"/>
            <w:left w:w="0" w:type="dxa"/>
            <w:bottom w:w="0" w:type="dxa"/>
            <w:right w:w="0" w:type="dxa"/>
          </w:tblCellMar>
        </w:tblPrEx>
        <w:trPr>
          <w:trHeight w:val="20" w:hRule="atLeast"/>
        </w:trPr>
        <w:tc>
          <w:tcPr>
            <w:tcW w:w="971"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Antenna scaling (DL)</w:t>
            </w:r>
          </w:p>
        </w:tc>
        <w:tc>
          <w:tcPr>
            <w:tcW w:w="199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2Rx power is 0.7x 4Rx power for FR1</w:t>
            </w:r>
          </w:p>
          <w:p>
            <w:pPr>
              <w:pStyle w:val="57"/>
              <w:adjustRightInd w:val="0"/>
              <w:snapToGrid w:val="0"/>
              <w:spacing w:before="180" w:beforeLines="50" w:after="180" w:afterLines="50" w:line="240" w:lineRule="auto"/>
              <w:jc w:val="both"/>
            </w:pPr>
            <w:r>
              <w:t>1Rx power is 0.7x 2Rx power for FR2</w:t>
            </w:r>
          </w:p>
        </w:tc>
        <w:tc>
          <w:tcPr>
            <w:tcW w:w="2029"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Assume same number of antenna elements per Rx chain</w:t>
            </w:r>
          </w:p>
        </w:tc>
      </w:tr>
      <w:tr>
        <w:tblPrEx>
          <w:tblCellMar>
            <w:top w:w="0" w:type="dxa"/>
            <w:left w:w="0" w:type="dxa"/>
            <w:bottom w:w="0" w:type="dxa"/>
            <w:right w:w="0" w:type="dxa"/>
          </w:tblCellMar>
        </w:tblPrEx>
        <w:trPr>
          <w:trHeight w:val="20" w:hRule="atLeast"/>
        </w:trPr>
        <w:tc>
          <w:tcPr>
            <w:tcW w:w="971"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Antenna scaling (UL)</w:t>
            </w:r>
          </w:p>
        </w:tc>
        <w:tc>
          <w:tcPr>
            <w:tcW w:w="199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2Tx power is 1.4x 1Tx power at 0dBm. 1.2x.at 23dBm FR1 only</w:t>
            </w:r>
          </w:p>
        </w:tc>
        <w:tc>
          <w:tcPr>
            <w:tcW w:w="2029"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p>
          <w:p>
            <w:pPr>
              <w:pStyle w:val="57"/>
              <w:adjustRightInd w:val="0"/>
              <w:snapToGrid w:val="0"/>
              <w:spacing w:before="180" w:beforeLines="50" w:after="180" w:afterLines="50" w:line="240" w:lineRule="auto"/>
              <w:jc w:val="both"/>
            </w:pPr>
            <w:r>
              <w:t>2Tx support is not considered for FR2.</w:t>
            </w:r>
          </w:p>
        </w:tc>
      </w:tr>
      <w:tr>
        <w:tblPrEx>
          <w:tblCellMar>
            <w:top w:w="0" w:type="dxa"/>
            <w:left w:w="0" w:type="dxa"/>
            <w:bottom w:w="0" w:type="dxa"/>
            <w:right w:w="0" w:type="dxa"/>
          </w:tblCellMar>
        </w:tblPrEx>
        <w:trPr>
          <w:trHeight w:val="20" w:hRule="atLeast"/>
        </w:trPr>
        <w:tc>
          <w:tcPr>
            <w:tcW w:w="971"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PDCCH-only</w:t>
            </w:r>
          </w:p>
        </w:tc>
        <w:tc>
          <w:tcPr>
            <w:tcW w:w="199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Power of cross-slot scheduling is 0.7x same-slot scheduling</w:t>
            </w:r>
          </w:p>
        </w:tc>
        <w:tc>
          <w:tcPr>
            <w:tcW w:w="2029"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Applicable for FR1 and FR2</w:t>
            </w:r>
          </w:p>
        </w:tc>
      </w:tr>
      <w:tr>
        <w:tblPrEx>
          <w:tblCellMar>
            <w:top w:w="0" w:type="dxa"/>
            <w:left w:w="0" w:type="dxa"/>
            <w:bottom w:w="0" w:type="dxa"/>
            <w:right w:w="0" w:type="dxa"/>
          </w:tblCellMar>
        </w:tblPrEx>
        <w:trPr>
          <w:trHeight w:val="20" w:hRule="atLeast"/>
        </w:trPr>
        <w:tc>
          <w:tcPr>
            <w:tcW w:w="971"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SSB</w:t>
            </w:r>
          </w:p>
        </w:tc>
        <w:tc>
          <w:tcPr>
            <w:tcW w:w="199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57"/>
              <w:adjustRightInd w:val="0"/>
              <w:snapToGrid w:val="0"/>
              <w:spacing w:before="180" w:beforeLines="50" w:after="180" w:afterLines="50" w:line="240" w:lineRule="auto"/>
              <w:jc w:val="both"/>
            </w:pPr>
            <w:r>
              <w:t>One SSB power is 0.75 of two SSB power, i.e. 75 power units</w:t>
            </w:r>
          </w:p>
        </w:tc>
        <w:tc>
          <w:tcPr>
            <w:tcW w:w="2029"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57"/>
              <w:adjustRightInd w:val="0"/>
              <w:snapToGrid w:val="0"/>
              <w:spacing w:before="180" w:beforeLines="50" w:after="180" w:afterLines="50" w:line="240" w:lineRule="auto"/>
              <w:jc w:val="both"/>
            </w:pPr>
          </w:p>
        </w:tc>
      </w:tr>
      <w:tr>
        <w:tblPrEx>
          <w:tblCellMar>
            <w:top w:w="0" w:type="dxa"/>
            <w:left w:w="0" w:type="dxa"/>
            <w:bottom w:w="0" w:type="dxa"/>
            <w:right w:w="0" w:type="dxa"/>
          </w:tblCellMar>
        </w:tblPrEx>
        <w:trPr>
          <w:trHeight w:val="20" w:hRule="atLeast"/>
        </w:trPr>
        <w:tc>
          <w:tcPr>
            <w:tcW w:w="971"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PDSCH-only slot</w:t>
            </w:r>
          </w:p>
        </w:tc>
        <w:tc>
          <w:tcPr>
            <w:tcW w:w="199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57"/>
              <w:adjustRightInd w:val="0"/>
              <w:snapToGrid w:val="0"/>
              <w:spacing w:before="180" w:beforeLines="50" w:after="180" w:afterLines="50" w:line="240" w:lineRule="auto"/>
              <w:jc w:val="both"/>
            </w:pPr>
            <w:r>
              <w:t>280 for FR1</w:t>
            </w:r>
          </w:p>
          <w:p>
            <w:pPr>
              <w:pStyle w:val="57"/>
              <w:adjustRightInd w:val="0"/>
              <w:snapToGrid w:val="0"/>
              <w:spacing w:before="180" w:beforeLines="50" w:after="180" w:afterLines="50" w:line="240" w:lineRule="auto"/>
              <w:jc w:val="both"/>
            </w:pPr>
            <w:r>
              <w:t>325 for FR2</w:t>
            </w:r>
          </w:p>
        </w:tc>
        <w:tc>
          <w:tcPr>
            <w:tcW w:w="2029"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This assumes the same number of PDSCH symbols as in the PDCCH+PDSCH case.</w:t>
            </w:r>
          </w:p>
        </w:tc>
      </w:tr>
      <w:tr>
        <w:tblPrEx>
          <w:tblCellMar>
            <w:top w:w="0" w:type="dxa"/>
            <w:left w:w="0" w:type="dxa"/>
            <w:bottom w:w="0" w:type="dxa"/>
            <w:right w:w="0" w:type="dxa"/>
          </w:tblCellMar>
        </w:tblPrEx>
        <w:trPr>
          <w:trHeight w:val="20" w:hRule="atLeast"/>
        </w:trPr>
        <w:tc>
          <w:tcPr>
            <w:tcW w:w="971"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CSI-RS</w:t>
            </w:r>
          </w:p>
        </w:tc>
        <w:tc>
          <w:tcPr>
            <w:tcW w:w="199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vAlign w:val="center"/>
          </w:tcPr>
          <w:p>
            <w:pPr>
              <w:pStyle w:val="57"/>
              <w:adjustRightInd w:val="0"/>
              <w:snapToGrid w:val="0"/>
              <w:spacing w:before="180" w:beforeLines="50" w:after="180" w:afterLines="50" w:line="240" w:lineRule="auto"/>
              <w:jc w:val="both"/>
            </w:pPr>
            <w:r>
              <w:t>FFS for scaling w.r.t. # of symbols for CSI-RS</w:t>
            </w:r>
          </w:p>
        </w:tc>
        <w:tc>
          <w:tcPr>
            <w:tcW w:w="2029"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p>
        </w:tc>
      </w:tr>
      <w:tr>
        <w:tblPrEx>
          <w:tblCellMar>
            <w:top w:w="0" w:type="dxa"/>
            <w:left w:w="0" w:type="dxa"/>
            <w:bottom w:w="0" w:type="dxa"/>
            <w:right w:w="0" w:type="dxa"/>
          </w:tblCellMar>
        </w:tblPrEx>
        <w:trPr>
          <w:trHeight w:val="20" w:hRule="atLeast"/>
        </w:trPr>
        <w:tc>
          <w:tcPr>
            <w:tcW w:w="971"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Short PUCCH</w:t>
            </w:r>
          </w:p>
        </w:tc>
        <w:tc>
          <w:tcPr>
            <w:tcW w:w="199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Short PUCCH power = 0.3 x uplink power</w:t>
            </w:r>
          </w:p>
          <w:p>
            <w:pPr>
              <w:pStyle w:val="57"/>
              <w:adjustRightInd w:val="0"/>
              <w:snapToGrid w:val="0"/>
              <w:spacing w:before="180" w:beforeLines="50" w:after="180" w:afterLines="50" w:line="240" w:lineRule="auto"/>
              <w:jc w:val="both"/>
            </w:pPr>
            <w:r>
              <w:t>Reference config consists of 1-symbol PUCCH</w:t>
            </w:r>
          </w:p>
        </w:tc>
        <w:tc>
          <w:tcPr>
            <w:tcW w:w="2029"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pPr>
            <w:r>
              <w:t>Applicable for FR1 and FR2.</w:t>
            </w:r>
          </w:p>
        </w:tc>
      </w:tr>
      <w:tr>
        <w:tblPrEx>
          <w:tblCellMar>
            <w:top w:w="0" w:type="dxa"/>
            <w:left w:w="0" w:type="dxa"/>
            <w:bottom w:w="0" w:type="dxa"/>
            <w:right w:w="0" w:type="dxa"/>
          </w:tblCellMar>
        </w:tblPrEx>
        <w:trPr>
          <w:trHeight w:val="20" w:hRule="atLeast"/>
        </w:trPr>
        <w:tc>
          <w:tcPr>
            <w:tcW w:w="971"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rPr>
                <w:highlight w:val="yellow"/>
              </w:rPr>
            </w:pPr>
            <w:r>
              <w:rPr>
                <w:highlight w:val="yellow"/>
              </w:rPr>
              <w:t>SRS</w:t>
            </w:r>
          </w:p>
        </w:tc>
        <w:tc>
          <w:tcPr>
            <w:tcW w:w="1998"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rPr>
                <w:highlight w:val="yellow"/>
              </w:rPr>
            </w:pPr>
            <w:r>
              <w:rPr>
                <w:highlight w:val="yellow"/>
              </w:rPr>
              <w:t>SRS power = 0.3 x uplink power</w:t>
            </w:r>
          </w:p>
        </w:tc>
        <w:tc>
          <w:tcPr>
            <w:tcW w:w="2029" w:type="pct"/>
            <w:tcBorders>
              <w:top w:val="single" w:color="000000" w:sz="8" w:space="0"/>
              <w:left w:val="single" w:color="000000" w:sz="8" w:space="0"/>
              <w:bottom w:val="single" w:color="000000" w:sz="8" w:space="0"/>
              <w:right w:val="single" w:color="000000" w:sz="8" w:space="0"/>
            </w:tcBorders>
            <w:shd w:val="clear" w:color="auto" w:fill="auto"/>
            <w:tcMar>
              <w:top w:w="54" w:type="dxa"/>
              <w:left w:w="108" w:type="dxa"/>
              <w:bottom w:w="54" w:type="dxa"/>
              <w:right w:w="108" w:type="dxa"/>
            </w:tcMar>
          </w:tcPr>
          <w:p>
            <w:pPr>
              <w:pStyle w:val="57"/>
              <w:adjustRightInd w:val="0"/>
              <w:snapToGrid w:val="0"/>
              <w:spacing w:before="180" w:beforeLines="50" w:after="180" w:afterLines="50" w:line="240" w:lineRule="auto"/>
              <w:jc w:val="both"/>
              <w:rPr>
                <w:highlight w:val="yellow"/>
              </w:rPr>
            </w:pPr>
            <w:r>
              <w:rPr>
                <w:highlight w:val="yellow"/>
              </w:rPr>
              <w:t>Applicable for FR1 and FR2.</w:t>
            </w:r>
          </w:p>
        </w:tc>
      </w:tr>
    </w:tbl>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The set of tables specifies the complete relative power/power scaling factor of almost all the channel/reference signals. We see it as a feasible unified assumption to evaluate the power consumption of different technical approaches. Therefore, the UE power consumption model in TS 38.840 can be the start point of Rel-18 LPHAP power evaluation.</w:t>
      </w:r>
      <w:r>
        <w:rPr>
          <w:rFonts w:ascii="Times New Roman" w:hAnsi="Times New Roman"/>
          <w:sz w:val="20"/>
          <w:szCs w:val="20"/>
        </w:rPr>
        <w:t xml:space="preserve"> For example, the highlight parts in above tables may be helpful to define power consumption for pos</w:t>
      </w:r>
      <w:r>
        <w:rPr>
          <w:rFonts w:hint="eastAsia" w:ascii="Times New Roman" w:hAnsi="Times New Roman"/>
          <w:sz w:val="20"/>
          <w:szCs w:val="20"/>
          <w:lang w:val="en-US" w:eastAsia="zh-CN"/>
        </w:rPr>
        <w:t>i</w:t>
      </w:r>
      <w:r>
        <w:rPr>
          <w:rFonts w:ascii="Times New Roman" w:hAnsi="Times New Roman"/>
          <w:sz w:val="20"/>
          <w:szCs w:val="20"/>
        </w:rPr>
        <w:t xml:space="preserve">tioning. </w:t>
      </w:r>
    </w:p>
    <w:p>
      <w:pPr>
        <w:autoSpaceDE w:val="0"/>
        <w:autoSpaceDN w:val="0"/>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eastAsia="宋体"/>
          <w:b/>
          <w:i/>
          <w:iCs/>
          <w:sz w:val="20"/>
          <w:szCs w:val="20"/>
        </w:rPr>
        <w:t>Proposal 2:</w:t>
      </w:r>
      <w:r>
        <w:rPr>
          <w:rFonts w:hint="eastAsia" w:ascii="Times New Roman" w:hAnsi="Times New Roman" w:eastAsia="宋体"/>
          <w:i/>
          <w:iCs/>
          <w:sz w:val="20"/>
          <w:szCs w:val="20"/>
        </w:rPr>
        <w:t xml:space="preserve"> Support to utilize </w:t>
      </w:r>
      <w:r>
        <w:rPr>
          <w:rFonts w:hint="eastAsia" w:ascii="Times New Roman" w:hAnsi="Times New Roman"/>
          <w:i/>
          <w:iCs/>
          <w:sz w:val="20"/>
          <w:szCs w:val="20"/>
        </w:rPr>
        <w:t xml:space="preserve">the UE power consumption model in TS 38.840 as a starting point to evaluate the power consumption </w:t>
      </w:r>
      <w:r>
        <w:rPr>
          <w:rFonts w:ascii="Times New Roman" w:hAnsi="Times New Roman"/>
          <w:i/>
          <w:iCs/>
          <w:sz w:val="20"/>
          <w:szCs w:val="20"/>
        </w:rPr>
        <w:t>for positioning</w:t>
      </w:r>
      <w:r>
        <w:rPr>
          <w:rFonts w:hint="eastAsia" w:ascii="Times New Roman" w:hAnsi="Times New Roman"/>
          <w:i/>
          <w:iCs/>
          <w:sz w:val="20"/>
          <w:szCs w:val="20"/>
        </w:rPr>
        <w:t>.</w:t>
      </w:r>
    </w:p>
    <w:p>
      <w:pPr>
        <w:pStyle w:val="3"/>
        <w:adjustRightInd w:val="0"/>
        <w:snapToGrid w:val="0"/>
        <w:spacing w:before="180" w:beforeLines="50" w:after="180" w:afterLines="50" w:line="240" w:lineRule="auto"/>
        <w:jc w:val="both"/>
        <w:rPr>
          <w:rFonts w:ascii="Cambria" w:hAnsi="Cambria" w:cs="Cambria"/>
          <w:sz w:val="24"/>
          <w:szCs w:val="24"/>
        </w:rPr>
      </w:pPr>
      <w:r>
        <w:rPr>
          <w:rFonts w:ascii="Cambria" w:hAnsi="Cambria" w:cs="Cambria"/>
          <w:sz w:val="24"/>
          <w:szCs w:val="24"/>
        </w:rPr>
        <w:t>2.3 Rel-18 technical approaches</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In Rel-17, we have agreed to support deferred MT-LR in RRC_INACTIVE, that is, firstly UE receives the deferred MT-LR request in RRC_CONNECTED period, </w:t>
      </w:r>
      <w:r>
        <w:rPr>
          <w:rFonts w:ascii="Times New Roman" w:hAnsi="Times New Roman" w:eastAsia="宋体"/>
          <w:sz w:val="20"/>
          <w:szCs w:val="20"/>
        </w:rPr>
        <w:t xml:space="preserve">and </w:t>
      </w:r>
      <w:r>
        <w:rPr>
          <w:rFonts w:hint="eastAsia" w:ascii="Times New Roman" w:hAnsi="Times New Roman" w:eastAsia="宋体"/>
          <w:sz w:val="20"/>
          <w:szCs w:val="20"/>
        </w:rPr>
        <w:t>then UE keeps detecting events and may trigger event report in the subsequent RRC_INACTIVE period. According to the following agreement RAN2 made at RAN2#114:</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 xml:space="preserve"> Agreement of RAN2#114:</w:t>
            </w:r>
          </w:p>
          <w:p>
            <w:pPr>
              <w:numPr>
                <w:ilvl w:val="0"/>
                <w:numId w:val="4"/>
              </w:num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Any uplink LCS or LPP message can be transported in RRC_INACTIVE from RAN2 perspective. </w:t>
            </w:r>
          </w:p>
          <w:p>
            <w:pPr>
              <w:numPr>
                <w:ilvl w:val="0"/>
                <w:numId w:val="4"/>
              </w:num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Follow Rel-17 SDT framework for INACTIVE UL and DL positioning:</w:t>
            </w:r>
          </w:p>
          <w:p>
            <w:pPr>
              <w:numPr>
                <w:ilvl w:val="0"/>
                <w:numId w:val="5"/>
              </w:num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If the UE initiated data transmission using UL SDT, the network can send DL LCS, LPP message and RRC message (e.g. to configure SRS (TBD on what message is used), if UL positioning supported) to the UE. </w:t>
            </w:r>
          </w:p>
          <w:p>
            <w:pPr>
              <w:numPr>
                <w:ilvl w:val="0"/>
                <w:numId w:val="5"/>
              </w:num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Otherwise, if UE did not initiate UL SDT, rely on legacy operation, i.e. the network shall transition the UE to RRC_CONNECTED, e.g. based on RAN paging. </w:t>
            </w:r>
          </w:p>
        </w:tc>
      </w:tr>
    </w:tbl>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It can be seen that in Rel-17, only if UE initiates UL SDT can UE receive LCS message smoothly in RRC_INACTIVE without transmitting to RRC_CONNECTED. That is to say, the prerequisite of supporting MT-LR in RRC_INACTIVE is UE should firstly initiated UL SDT. However, positioning service from LCS client will trigger at any time, in the meanwhile core network does not know UE</w:t>
      </w:r>
      <w:r>
        <w:rPr>
          <w:rFonts w:ascii="Times New Roman" w:hAnsi="Times New Roman" w:eastAsia="宋体"/>
          <w:sz w:val="20"/>
          <w:szCs w:val="20"/>
        </w:rPr>
        <w:t>’</w:t>
      </w:r>
      <w:r>
        <w:rPr>
          <w:rFonts w:hint="eastAsia" w:ascii="Times New Roman" w:hAnsi="Times New Roman" w:eastAsia="宋体"/>
          <w:sz w:val="20"/>
          <w:szCs w:val="20"/>
        </w:rPr>
        <w:t>s RRC state and UE</w:t>
      </w:r>
      <w:r>
        <w:rPr>
          <w:rFonts w:ascii="Times New Roman" w:hAnsi="Times New Roman" w:eastAsia="宋体"/>
          <w:sz w:val="20"/>
          <w:szCs w:val="20"/>
        </w:rPr>
        <w:t>’</w:t>
      </w:r>
      <w:r>
        <w:rPr>
          <w:rFonts w:hint="eastAsia" w:ascii="Times New Roman" w:hAnsi="Times New Roman" w:eastAsia="宋体"/>
          <w:sz w:val="20"/>
          <w:szCs w:val="20"/>
        </w:rPr>
        <w:t>s SDT status. Note that usually SDT active period takes small percentage of the whole RRC_INACTIVE period, random LCS/LPP messages related positioning may lead to frequent RAN paging and UE has to wake up frequently from RRC_INACTIVE. Thus, it is rather a waste of power.</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To reduce the power consumption of the network-initiated positioning request, Rel-18 should further support MT-LR in RRC_INACTIVE. Below shows the Rel-18 WID[5] of Mobile Terminated-Small Data Transmission (MT-SDT):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0"/>
                <w:numId w:val="6"/>
              </w:num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Specify the support for paging-triggered SDT (MT-SDT) [RAN2, RAN3]</w:t>
            </w:r>
          </w:p>
          <w:p>
            <w:pPr>
              <w:numPr>
                <w:ilvl w:val="0"/>
                <w:numId w:val="7"/>
              </w:num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MT-SDT triggering mechanism for UEs in RRC_INACTIVE, supporting RA-SDT and CG-SDT as the UL response;</w:t>
            </w:r>
          </w:p>
          <w:p>
            <w:pPr>
              <w:numPr>
                <w:ilvl w:val="0"/>
                <w:numId w:val="7"/>
              </w:num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MT-SDT procedure for initial DL data reception and subsequent UL/DL data transmissions in RRC_INACTIVE.</w:t>
            </w:r>
          </w:p>
          <w:p>
            <w:pPr>
              <w:numPr>
                <w:ilvl w:val="0"/>
                <w:numId w:val="7"/>
              </w:num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ascii="Times New Roman" w:hAnsi="Times New Roman" w:eastAsia="宋体"/>
                <w:sz w:val="20"/>
                <w:szCs w:val="20"/>
              </w:rPr>
              <w:t xml:space="preserve">Note: Data transmission in DL within paging message is not in scope of this WI.  </w:t>
            </w:r>
          </w:p>
        </w:tc>
      </w:tr>
    </w:tbl>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hint="eastAsia" w:ascii="Times New Roman" w:hAnsi="Times New Roman" w:eastAsia="宋体"/>
          <w:sz w:val="20"/>
          <w:szCs w:val="20"/>
        </w:rPr>
        <w:t>MT-SDT is an approach to trigger DL message transmission by the NG-RAN node in RRC_INACTIVE, where the DL message can also convey the LCS/LPP message generated at core network. That is to say, MT-SDT facilitates the enhancement of MT-LR in RRC_INACTIVE.</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eastAsia="宋体"/>
          <w:b/>
          <w:i/>
          <w:iCs/>
          <w:sz w:val="20"/>
          <w:szCs w:val="20"/>
        </w:rPr>
        <w:t>Proposal 3:</w:t>
      </w:r>
      <w:r>
        <w:rPr>
          <w:rFonts w:hint="eastAsia" w:ascii="Times New Roman" w:hAnsi="Times New Roman" w:eastAsia="宋体"/>
          <w:i/>
          <w:iCs/>
          <w:sz w:val="20"/>
          <w:szCs w:val="20"/>
        </w:rPr>
        <w:t xml:space="preserve"> Support MT-LR via MT-SDT in RRC_INACTIVE in Rel-18.</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As the Rel-18 SID indicates, the LPHAP study is limited to </w:t>
      </w:r>
      <w:r>
        <w:rPr>
          <w:rFonts w:ascii="Times New Roman" w:hAnsi="Times New Roman"/>
          <w:bCs/>
          <w:sz w:val="20"/>
          <w:szCs w:val="20"/>
        </w:rPr>
        <w:t>enhancements to RRC_INACTIVE and/or RRC_IDLE state</w:t>
      </w:r>
      <w:r>
        <w:rPr>
          <w:rFonts w:hint="eastAsia" w:ascii="Times New Roman" w:hAnsi="Times New Roman"/>
          <w:bCs/>
          <w:sz w:val="20"/>
          <w:szCs w:val="20"/>
        </w:rPr>
        <w:t xml:space="preserve">. </w:t>
      </w:r>
      <w:r>
        <w:rPr>
          <w:rFonts w:hint="eastAsia" w:ascii="Times New Roman" w:hAnsi="Times New Roman"/>
          <w:sz w:val="20"/>
          <w:szCs w:val="20"/>
        </w:rPr>
        <w:t xml:space="preserve">In the past several months, Rel-17 has accomplished a pretty good start on the positioning in RRC_INACTIVE, especially for UL/DL+UL positioning by supporting the periodic/semi-persistent positioning SRS in RRC_INACITVE. However, there are still some </w:t>
      </w:r>
      <w:r>
        <w:rPr>
          <w:rFonts w:ascii="Times New Roman" w:hAnsi="Times New Roman"/>
          <w:sz w:val="20"/>
          <w:szCs w:val="20"/>
        </w:rPr>
        <w:t>room to further reduce UE power co</w:t>
      </w:r>
      <w:r>
        <w:rPr>
          <w:rFonts w:hint="eastAsia" w:ascii="Times New Roman" w:hAnsi="Times New Roman"/>
          <w:sz w:val="20"/>
          <w:szCs w:val="20"/>
          <w:lang w:val="en-US" w:eastAsia="zh-CN"/>
        </w:rPr>
        <w:t>n</w:t>
      </w:r>
      <w:r>
        <w:rPr>
          <w:rFonts w:ascii="Times New Roman" w:hAnsi="Times New Roman"/>
          <w:sz w:val="20"/>
          <w:szCs w:val="20"/>
        </w:rPr>
        <w:t>sumption</w:t>
      </w:r>
      <w:r>
        <w:rPr>
          <w:rFonts w:hint="eastAsia" w:ascii="Times New Roman" w:hAnsi="Times New Roman"/>
          <w:sz w:val="20"/>
          <w:szCs w:val="20"/>
        </w:rPr>
        <w:t xml:space="preserve"> for UL positioning in RRC_INACTIVE. Therefore, we suggest to continue the study of the UL/DL+UL positioning in RRC_INACTIVE/RRC_IDLE in Rel-18. </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eastAsia="宋体"/>
          <w:b/>
          <w:i/>
          <w:iCs/>
          <w:sz w:val="20"/>
          <w:szCs w:val="20"/>
        </w:rPr>
        <w:t>Proposal 4:</w:t>
      </w:r>
      <w:r>
        <w:rPr>
          <w:rFonts w:hint="eastAsia" w:ascii="Times New Roman" w:hAnsi="Times New Roman" w:eastAsia="宋体"/>
          <w:i/>
          <w:iCs/>
          <w:sz w:val="20"/>
          <w:szCs w:val="20"/>
        </w:rPr>
        <w:t xml:space="preserve"> In Rel-18, continue the study of the UL/DL+UL positioning in RRC_INACTIVE/RRC_IDLE</w:t>
      </w:r>
      <w:r>
        <w:rPr>
          <w:rFonts w:ascii="Times New Roman" w:hAnsi="Times New Roman" w:eastAsia="宋体"/>
          <w:i/>
          <w:iCs/>
          <w:sz w:val="20"/>
          <w:szCs w:val="20"/>
        </w:rPr>
        <w:t xml:space="preserve"> for lower power consumption</w:t>
      </w:r>
      <w:r>
        <w:rPr>
          <w:rFonts w:hint="eastAsia" w:ascii="Times New Roman" w:hAnsi="Times New Roman" w:eastAsia="宋体"/>
          <w:i/>
          <w:iCs/>
          <w:sz w:val="20"/>
          <w:szCs w:val="20"/>
        </w:rPr>
        <w:t>.</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In Rel-17, the following agreements are achieved: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Agreement of RAN2#116-bis:</w:t>
            </w:r>
          </w:p>
          <w:p>
            <w:pPr>
              <w:numPr>
                <w:ilvl w:val="0"/>
                <w:numId w:val="8"/>
              </w:num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The SRSp configuration is considered as invalid if TA is not valid.</w:t>
            </w:r>
          </w:p>
          <w:p>
            <w:pPr>
              <w:numPr>
                <w:ilvl w:val="0"/>
                <w:numId w:val="8"/>
              </w:num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When cell reselection is performed and UE initiates RRC resume procedure to the cell which is different from the cell in which the SRSp is configured, the TA timer configuration for SRS should be released.</w:t>
            </w:r>
          </w:p>
          <w:p>
            <w:pPr>
              <w:numPr>
                <w:ilvl w:val="0"/>
                <w:numId w:val="8"/>
              </w:num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The SRSp configuration is released when the UE sends RRCResumeRequest to a cell other than the cell where it is released to RRC_INACTIVE state.</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Agreement of RAN2#117:</w:t>
            </w:r>
          </w:p>
          <w:p>
            <w:pPr>
              <w:numPr>
                <w:ilvl w:val="0"/>
                <w:numId w:val="8"/>
              </w:num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TA timer configuration of SRS for positioning (SRSp) is invalidated upon any cell reselection (i.e. even if the UE does not initiate the RRC resume procedure) </w:t>
            </w:r>
          </w:p>
        </w:tc>
      </w:tr>
    </w:tbl>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These agreements indicate that, the SRS configuration for RRC_INACTIVE is only restricted in the serving cell that the UE connects lastly. If cell re-selection is performed while UE still needs positioning (which is very likely to happen in wearable devices), UE has to reach to RRC_CONNECTED to receive new SRS configuration embedded in RRC reconfiguration. According to the power consumption model introduced above, this action will lead to a huge power waste. Therefore, Rel-18 should further enhance the UE mobility of UL positioning in RRC_INACTIVE/RRC_IDLE, in order to ensure the low power consumption. </w:t>
      </w:r>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i/>
          <w:iCs/>
          <w:sz w:val="20"/>
          <w:szCs w:val="20"/>
        </w:rPr>
        <w:t>Proposal 5:</w:t>
      </w:r>
      <w:r>
        <w:rPr>
          <w:rFonts w:hint="eastAsia" w:ascii="Times New Roman" w:hAnsi="Times New Roman" w:eastAsia="宋体"/>
          <w:i/>
          <w:iCs/>
          <w:sz w:val="20"/>
          <w:szCs w:val="20"/>
        </w:rPr>
        <w:t xml:space="preserve"> Rel-18 should </w:t>
      </w:r>
      <w:r>
        <w:rPr>
          <w:rFonts w:hint="eastAsia" w:ascii="Times New Roman" w:hAnsi="Times New Roman"/>
          <w:i/>
          <w:iCs/>
          <w:sz w:val="20"/>
          <w:szCs w:val="20"/>
        </w:rPr>
        <w:t>further enhance</w:t>
      </w:r>
      <w:r>
        <w:rPr>
          <w:rFonts w:hint="eastAsia" w:ascii="Times New Roman" w:hAnsi="Times New Roman" w:eastAsia="宋体"/>
          <w:i/>
          <w:iCs/>
          <w:sz w:val="20"/>
          <w:szCs w:val="20"/>
        </w:rPr>
        <w:t xml:space="preserve"> the UE mobility of UL positioning in RRC_INACTIVE/RRC_IDLE, in order to ensure the low power consumption. </w:t>
      </w:r>
      <w:bookmarkStart w:id="9" w:name="_GoBack"/>
      <w:bookmarkEnd w:id="9"/>
    </w:p>
    <w:p>
      <w:pPr>
        <w:autoSpaceDE w:val="0"/>
        <w:autoSpaceDN w:val="0"/>
        <w:adjustRightInd w:val="0"/>
        <w:snapToGrid w:val="0"/>
        <w:spacing w:before="180" w:beforeLines="50" w:after="180" w:afterLines="50" w:line="240" w:lineRule="auto"/>
        <w:jc w:val="both"/>
        <w:rPr>
          <w:rFonts w:ascii="Times New Roman" w:hAnsi="Times New Roman" w:eastAsia="宋体"/>
          <w:i/>
          <w:iCs/>
          <w:sz w:val="20"/>
          <w:szCs w:val="20"/>
        </w:rPr>
      </w:pPr>
    </w:p>
    <w:p>
      <w:pPr>
        <w:pStyle w:val="2"/>
        <w:snapToGrid w:val="0"/>
        <w:spacing w:before="180" w:beforeLines="50" w:after="180" w:afterLines="50"/>
        <w:ind w:left="431" w:hanging="431"/>
        <w:jc w:val="both"/>
        <w:rPr>
          <w:sz w:val="28"/>
          <w:lang w:val="en-US"/>
        </w:rPr>
      </w:pPr>
      <w:r>
        <w:rPr>
          <w:rFonts w:hint="eastAsia"/>
          <w:sz w:val="28"/>
          <w:lang w:val="en-US"/>
        </w:rPr>
        <w:t>Conclusion</w:t>
      </w:r>
    </w:p>
    <w:p>
      <w:pPr>
        <w:adjustRightInd w:val="0"/>
        <w:snapToGrid w:val="0"/>
        <w:spacing w:before="180" w:beforeLines="50" w:after="180" w:afterLines="50" w:line="240" w:lineRule="auto"/>
        <w:jc w:val="both"/>
        <w:rPr>
          <w:rFonts w:ascii="Times New Roman" w:hAnsi="Times New Roman" w:eastAsia="宋体"/>
          <w:b/>
          <w:i/>
          <w:iCs/>
          <w:sz w:val="20"/>
          <w:szCs w:val="20"/>
        </w:rPr>
      </w:pPr>
      <w:r>
        <w:rPr>
          <w:rFonts w:ascii="Times New Roman" w:hAnsi="Times New Roman"/>
          <w:sz w:val="20"/>
          <w:szCs w:val="20"/>
        </w:rPr>
        <w:t>In t</w:t>
      </w:r>
      <w:r>
        <w:rPr>
          <w:rFonts w:hint="eastAsia" w:ascii="Times New Roman" w:hAnsi="Times New Roman"/>
          <w:sz w:val="20"/>
          <w:szCs w:val="20"/>
        </w:rPr>
        <w:t>his contribution</w:t>
      </w:r>
      <w:r>
        <w:rPr>
          <w:rFonts w:ascii="Times New Roman" w:hAnsi="Times New Roman"/>
          <w:sz w:val="20"/>
          <w:szCs w:val="20"/>
        </w:rPr>
        <w:t>, we provide our</w:t>
      </w:r>
      <w:r>
        <w:rPr>
          <w:rFonts w:hint="eastAsia" w:ascii="Times New Roman" w:hAnsi="Times New Roman"/>
          <w:sz w:val="20"/>
          <w:szCs w:val="20"/>
        </w:rPr>
        <w:t xml:space="preserve"> views about LPHAP</w:t>
      </w:r>
      <w:r>
        <w:rPr>
          <w:rFonts w:ascii="Times New Roman" w:hAnsi="Times New Roman"/>
          <w:sz w:val="20"/>
          <w:szCs w:val="20"/>
        </w:rPr>
        <w:t xml:space="preserve"> as follows</w:t>
      </w:r>
      <w:r>
        <w:rPr>
          <w:rFonts w:hint="eastAsia" w:ascii="Times New Roman" w:hAnsi="Times New Roman" w:eastAsia="宋体"/>
          <w:b/>
          <w:i/>
          <w:iCs/>
          <w:sz w:val="20"/>
          <w:szCs w:val="20"/>
        </w:rPr>
        <w:t xml:space="preserve"> </w:t>
      </w:r>
    </w:p>
    <w:p>
      <w:pPr>
        <w:adjustRightInd w:val="0"/>
        <w:snapToGrid w:val="0"/>
        <w:spacing w:before="180" w:beforeLines="50" w:after="180" w:afterLines="50" w:line="240" w:lineRule="auto"/>
        <w:jc w:val="both"/>
        <w:rPr>
          <w:rFonts w:ascii="Times New Roman" w:hAnsi="Times New Roman" w:eastAsia="宋体"/>
          <w:i/>
          <w:iCs/>
          <w:sz w:val="20"/>
          <w:szCs w:val="20"/>
        </w:rPr>
      </w:pPr>
      <w:r>
        <w:rPr>
          <w:rFonts w:hint="eastAsia" w:ascii="Times New Roman" w:hAnsi="Times New Roman" w:eastAsia="宋体"/>
          <w:b/>
          <w:i/>
          <w:iCs/>
          <w:sz w:val="20"/>
          <w:szCs w:val="20"/>
        </w:rPr>
        <w:t>Proposal 1:</w:t>
      </w:r>
      <w:r>
        <w:rPr>
          <w:rFonts w:hint="eastAsia" w:ascii="Times New Roman" w:hAnsi="Times New Roman" w:eastAsia="宋体"/>
          <w:i/>
          <w:iCs/>
          <w:sz w:val="20"/>
          <w:szCs w:val="20"/>
        </w:rPr>
        <w:t xml:space="preserve"> Support use case 5 or use case 6 for the Rel-18 LPHAP.</w:t>
      </w:r>
    </w:p>
    <w:p>
      <w:pPr>
        <w:autoSpaceDE w:val="0"/>
        <w:autoSpaceDN w:val="0"/>
        <w:adjustRightInd w:val="0"/>
        <w:snapToGrid w:val="0"/>
        <w:spacing w:before="180" w:beforeLines="50" w:after="180" w:afterLines="50" w:line="240" w:lineRule="auto"/>
        <w:jc w:val="both"/>
        <w:rPr>
          <w:rFonts w:ascii="Times New Roman" w:hAnsi="Times New Roman"/>
          <w:i/>
          <w:iCs/>
          <w:sz w:val="20"/>
          <w:szCs w:val="20"/>
        </w:rPr>
      </w:pPr>
      <w:r>
        <w:rPr>
          <w:rFonts w:hint="eastAsia" w:ascii="Times New Roman" w:hAnsi="Times New Roman" w:eastAsia="宋体"/>
          <w:b/>
          <w:i/>
          <w:iCs/>
          <w:sz w:val="20"/>
          <w:szCs w:val="20"/>
        </w:rPr>
        <w:t>Proposal 2:</w:t>
      </w:r>
      <w:r>
        <w:rPr>
          <w:rFonts w:hint="eastAsia" w:ascii="Times New Roman" w:hAnsi="Times New Roman" w:eastAsia="宋体"/>
          <w:i/>
          <w:iCs/>
          <w:sz w:val="20"/>
          <w:szCs w:val="20"/>
        </w:rPr>
        <w:t xml:space="preserve"> Support to utilize </w:t>
      </w:r>
      <w:r>
        <w:rPr>
          <w:rFonts w:hint="eastAsia" w:ascii="Times New Roman" w:hAnsi="Times New Roman"/>
          <w:i/>
          <w:iCs/>
          <w:sz w:val="20"/>
          <w:szCs w:val="20"/>
        </w:rPr>
        <w:t xml:space="preserve">the UE power consumption model in TS 38.840 as a starting point to evaluate the power consumption </w:t>
      </w:r>
      <w:r>
        <w:rPr>
          <w:rFonts w:ascii="Times New Roman" w:hAnsi="Times New Roman"/>
          <w:i/>
          <w:iCs/>
          <w:sz w:val="20"/>
          <w:szCs w:val="20"/>
        </w:rPr>
        <w:t>for positioning</w:t>
      </w:r>
      <w:r>
        <w:rPr>
          <w:rFonts w:hint="eastAsia" w:ascii="Times New Roman" w:hAnsi="Times New Roman"/>
          <w:i/>
          <w:iCs/>
          <w:sz w:val="20"/>
          <w:szCs w:val="20"/>
        </w:rPr>
        <w:t>.</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eastAsia="宋体"/>
          <w:b/>
          <w:i/>
          <w:iCs/>
          <w:sz w:val="20"/>
          <w:szCs w:val="20"/>
        </w:rPr>
        <w:t>Proposal 3:</w:t>
      </w:r>
      <w:r>
        <w:rPr>
          <w:rFonts w:hint="eastAsia" w:ascii="Times New Roman" w:hAnsi="Times New Roman" w:eastAsia="宋体"/>
          <w:i/>
          <w:iCs/>
          <w:sz w:val="20"/>
          <w:szCs w:val="20"/>
        </w:rPr>
        <w:t xml:space="preserve"> Support MT-LR via MT-SDT in RRC_INACTIVE in Rel-18.</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eastAsia="宋体"/>
          <w:b/>
          <w:i/>
          <w:iCs/>
          <w:sz w:val="20"/>
          <w:szCs w:val="20"/>
        </w:rPr>
        <w:t>Proposal 4:</w:t>
      </w:r>
      <w:r>
        <w:rPr>
          <w:rFonts w:hint="eastAsia" w:ascii="Times New Roman" w:hAnsi="Times New Roman" w:eastAsia="宋体"/>
          <w:i/>
          <w:iCs/>
          <w:sz w:val="20"/>
          <w:szCs w:val="20"/>
        </w:rPr>
        <w:t xml:space="preserve"> In Rel-18, continue the study of the UL/DL+UL positioning in RRC_INACTIVE/RRC_IDLE</w:t>
      </w:r>
      <w:r>
        <w:rPr>
          <w:rFonts w:ascii="Times New Roman" w:hAnsi="Times New Roman" w:eastAsia="宋体"/>
          <w:i/>
          <w:iCs/>
          <w:sz w:val="20"/>
          <w:szCs w:val="20"/>
        </w:rPr>
        <w:t xml:space="preserve"> for lower power consumption</w:t>
      </w:r>
      <w:r>
        <w:rPr>
          <w:rFonts w:hint="eastAsia" w:ascii="Times New Roman" w:hAnsi="Times New Roman" w:eastAsia="宋体"/>
          <w:i/>
          <w:iCs/>
          <w:sz w:val="20"/>
          <w:szCs w:val="20"/>
        </w:rPr>
        <w:t>.</w:t>
      </w:r>
    </w:p>
    <w:p>
      <w:pPr>
        <w:autoSpaceDE w:val="0"/>
        <w:autoSpaceDN w:val="0"/>
        <w:adjustRightInd w:val="0"/>
        <w:snapToGrid w:val="0"/>
        <w:spacing w:before="180" w:beforeLines="50" w:after="180" w:afterLines="50" w:line="240" w:lineRule="auto"/>
        <w:jc w:val="both"/>
        <w:rPr>
          <w:rFonts w:ascii="Times New Roman" w:hAnsi="Times New Roman" w:eastAsia="宋体"/>
          <w:bCs/>
          <w:i/>
          <w:sz w:val="20"/>
          <w:szCs w:val="20"/>
          <w:lang w:eastAsia="ko-KR"/>
        </w:rPr>
      </w:pPr>
      <w:r>
        <w:rPr>
          <w:rFonts w:hint="eastAsia" w:ascii="Times New Roman" w:hAnsi="Times New Roman" w:eastAsia="宋体"/>
          <w:b/>
          <w:i/>
          <w:iCs/>
          <w:sz w:val="20"/>
          <w:szCs w:val="20"/>
        </w:rPr>
        <w:t>Proposal 5:</w:t>
      </w:r>
      <w:r>
        <w:rPr>
          <w:rFonts w:hint="eastAsia" w:ascii="Times New Roman" w:hAnsi="Times New Roman" w:eastAsia="宋体"/>
          <w:i/>
          <w:iCs/>
          <w:sz w:val="20"/>
          <w:szCs w:val="20"/>
        </w:rPr>
        <w:t xml:space="preserve"> Rel-18 should </w:t>
      </w:r>
      <w:r>
        <w:rPr>
          <w:rFonts w:hint="eastAsia" w:ascii="Times New Roman" w:hAnsi="Times New Roman"/>
          <w:i/>
          <w:iCs/>
          <w:sz w:val="20"/>
          <w:szCs w:val="20"/>
        </w:rPr>
        <w:t>further enhance</w:t>
      </w:r>
      <w:r>
        <w:rPr>
          <w:rFonts w:hint="eastAsia" w:ascii="Times New Roman" w:hAnsi="Times New Roman" w:eastAsia="宋体"/>
          <w:i/>
          <w:iCs/>
          <w:sz w:val="20"/>
          <w:szCs w:val="20"/>
        </w:rPr>
        <w:t xml:space="preserve"> the UE mobility of UL positioning in RRC_INACTIVE/RRC_IDLE, in order to ensure the low power consumption. </w:t>
      </w:r>
    </w:p>
    <w:p>
      <w:pPr>
        <w:pStyle w:val="2"/>
        <w:snapToGrid w:val="0"/>
        <w:spacing w:before="180" w:beforeLines="50" w:after="180" w:afterLines="50"/>
        <w:ind w:left="431" w:hanging="431"/>
        <w:jc w:val="both"/>
        <w:rPr>
          <w:sz w:val="28"/>
          <w:lang w:val="en-US"/>
        </w:rPr>
      </w:pPr>
      <w:r>
        <w:rPr>
          <w:rFonts w:hint="eastAsia"/>
          <w:sz w:val="28"/>
          <w:lang w:val="en-US"/>
        </w:rPr>
        <w:t>Reference</w:t>
      </w:r>
    </w:p>
    <w:p>
      <w:pPr>
        <w:numPr>
          <w:ilvl w:val="0"/>
          <w:numId w:val="9"/>
        </w:num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eastAsia="宋体"/>
          <w:sz w:val="20"/>
          <w:szCs w:val="20"/>
        </w:rPr>
        <w:t>RP-213</w:t>
      </w:r>
      <w:r>
        <w:rPr>
          <w:rFonts w:hint="eastAsia" w:ascii="Times New Roman" w:hAnsi="Times New Roman" w:eastAsia="宋体"/>
          <w:sz w:val="20"/>
          <w:szCs w:val="20"/>
        </w:rPr>
        <w:t>588,</w:t>
      </w:r>
      <w:r>
        <w:rPr>
          <w:rFonts w:ascii="Times New Roman" w:hAnsi="Times New Roman" w:eastAsia="宋体"/>
          <w:sz w:val="20"/>
          <w:szCs w:val="20"/>
        </w:rPr>
        <w:t xml:space="preserve"> Revised SID on Study on expanded and improved NR positioning</w:t>
      </w:r>
      <w:r>
        <w:rPr>
          <w:rFonts w:hint="eastAsia" w:ascii="Times New Roman" w:hAnsi="Times New Roman" w:eastAsia="宋体"/>
          <w:sz w:val="20"/>
          <w:szCs w:val="20"/>
        </w:rPr>
        <w:t>.</w:t>
      </w:r>
      <w:r>
        <w:rPr>
          <w:rFonts w:ascii="Times New Roman" w:hAnsi="Times New Roman" w:eastAsia="宋体"/>
          <w:sz w:val="20"/>
          <w:szCs w:val="20"/>
        </w:rPr>
        <w:t xml:space="preserve"> </w:t>
      </w:r>
      <w:bookmarkStart w:id="7" w:name="_Ref72747485"/>
    </w:p>
    <w:p>
      <w:pPr>
        <w:numPr>
          <w:ilvl w:val="0"/>
          <w:numId w:val="9"/>
        </w:num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S1-210366, Adding energy efficiency use cases for positioning to the ANNEX A, 2021-03.</w:t>
      </w:r>
      <w:bookmarkEnd w:id="7"/>
      <w:bookmarkStart w:id="8" w:name="_Ref73199333"/>
    </w:p>
    <w:p>
      <w:pPr>
        <w:numPr>
          <w:ilvl w:val="0"/>
          <w:numId w:val="9"/>
        </w:num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TS 22.104, Service requirements for cyber-physical control applications in vertical domains, 2021-03.</w:t>
      </w:r>
      <w:bookmarkEnd w:id="8"/>
    </w:p>
    <w:p>
      <w:pPr>
        <w:numPr>
          <w:ilvl w:val="0"/>
          <w:numId w:val="9"/>
        </w:num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TS 38.840, Study on User Equipment (UE) power saving in NR, 2019-06.</w:t>
      </w:r>
    </w:p>
    <w:p>
      <w:pPr>
        <w:numPr>
          <w:ilvl w:val="0"/>
          <w:numId w:val="9"/>
        </w:numPr>
        <w:autoSpaceDE w:val="0"/>
        <w:autoSpaceDN w:val="0"/>
        <w:adjustRightInd w:val="0"/>
        <w:snapToGrid w:val="0"/>
        <w:spacing w:before="180" w:beforeLines="50" w:after="180" w:afterLines="50" w:line="240" w:lineRule="auto"/>
        <w:jc w:val="both"/>
        <w:rPr>
          <w:rFonts w:ascii="Times New Roman" w:hAnsi="Times New Roman" w:eastAsia="宋体"/>
          <w:sz w:val="20"/>
          <w:szCs w:val="20"/>
          <w:lang w:val="en-GB" w:eastAsia="en-GB"/>
        </w:rPr>
      </w:pPr>
      <w:r>
        <w:rPr>
          <w:rFonts w:ascii="Times New Roman" w:hAnsi="Times New Roman"/>
          <w:sz w:val="20"/>
          <w:szCs w:val="20"/>
        </w:rPr>
        <w:t>RP-213583</w:t>
      </w:r>
      <w:r>
        <w:rPr>
          <w:rFonts w:hint="eastAsia" w:ascii="Times New Roman" w:hAnsi="Times New Roman"/>
          <w:sz w:val="20"/>
          <w:szCs w:val="20"/>
        </w:rPr>
        <w:t>, New WI: Mobile Terminated-Small Data Transmission (MT-SDT) for NR, 2021-12</w:t>
      </w:r>
    </w:p>
    <w:sectPr>
      <w:footerReference r:id="rId3" w:type="default"/>
      <w:type w:val="continuous"/>
      <w:pgSz w:w="12240" w:h="15840"/>
      <w:pgMar w:top="1440" w:right="1440" w:bottom="1440" w:left="1440" w:header="720" w:footer="720"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Batang">
    <w:altName w:val="Malgun Gothic"/>
    <w:panose1 w:val="02030600000101010101"/>
    <w:charset w:val="81"/>
    <w:family w:val="auto"/>
    <w:pitch w:val="default"/>
    <w:sig w:usb0="00000000" w:usb1="00000000" w:usb2="00000010" w:usb3="00000000" w:csb0="0008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19"/>
          <w:jc w:val="center"/>
        </w:pPr>
        <w:r>
          <w:fldChar w:fldCharType="begin"/>
        </w:r>
        <w:r>
          <w:instrText xml:space="preserve"> PAGE   \* MERGEFORMAT </w:instrText>
        </w:r>
        <w:r>
          <w:fldChar w:fldCharType="separate"/>
        </w:r>
        <w:r>
          <w:rPr>
            <w:lang w:val="zh-CN"/>
          </w:rPr>
          <w:t>9</w:t>
        </w:r>
        <w:r>
          <w:rPr>
            <w:lang w:val="zh-CN"/>
          </w:rPr>
          <w:fldChar w:fldCharType="end"/>
        </w:r>
      </w:p>
    </w:sdtContent>
  </w:sdt>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BD04E87F"/>
    <w:multiLevelType w:val="singleLevel"/>
    <w:tmpl w:val="BD04E87F"/>
    <w:lvl w:ilvl="0" w:tentative="0">
      <w:start w:val="1"/>
      <w:numFmt w:val="bullet"/>
      <w:lvlText w:val="•"/>
      <w:lvlJc w:val="left"/>
      <w:pPr>
        <w:ind w:left="420" w:hanging="420"/>
      </w:pPr>
      <w:rPr>
        <w:rFonts w:hint="default" w:ascii="Times New Roman" w:hAnsi="Times New Roman" w:cs="Times New Roman"/>
      </w:rPr>
    </w:lvl>
  </w:abstractNum>
  <w:abstractNum w:abstractNumId="2">
    <w:nsid w:val="D9D952F5"/>
    <w:multiLevelType w:val="singleLevel"/>
    <w:tmpl w:val="D9D952F5"/>
    <w:lvl w:ilvl="0" w:tentative="0">
      <w:start w:val="1"/>
      <w:numFmt w:val="bullet"/>
      <w:lvlText w:val="•"/>
      <w:lvlJc w:val="left"/>
      <w:pPr>
        <w:tabs>
          <w:tab w:val="left" w:pos="420"/>
        </w:tabs>
        <w:ind w:left="840" w:hanging="420"/>
      </w:pPr>
      <w:rPr>
        <w:rFonts w:hint="default" w:ascii="Times New Roman" w:hAnsi="Times New Roman" w:cs="Times New Roman"/>
      </w:rPr>
    </w:lvl>
  </w:abstractNum>
  <w:abstractNum w:abstractNumId="3">
    <w:nsid w:val="0DE83EA3"/>
    <w:multiLevelType w:val="multilevel"/>
    <w:tmpl w:val="0DE83EA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EAE8FBC"/>
    <w:multiLevelType w:val="multilevel"/>
    <w:tmpl w:val="1EAE8FBC"/>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2765C7CA"/>
    <w:multiLevelType w:val="singleLevel"/>
    <w:tmpl w:val="2765C7CA"/>
    <w:lvl w:ilvl="0" w:tentative="0">
      <w:start w:val="1"/>
      <w:numFmt w:val="bullet"/>
      <w:lvlText w:val="•"/>
      <w:lvlJc w:val="left"/>
      <w:pPr>
        <w:tabs>
          <w:tab w:val="left" w:pos="420"/>
        </w:tabs>
        <w:ind w:left="840" w:hanging="420"/>
      </w:pPr>
      <w:rPr>
        <w:rFonts w:hint="default" w:ascii="Times New Roman" w:hAnsi="Times New Roman" w:cs="Times New Roman"/>
      </w:rPr>
    </w:lvl>
  </w:abstractNum>
  <w:abstractNum w:abstractNumId="6">
    <w:nsid w:val="3FAC2BBB"/>
    <w:multiLevelType w:val="multilevel"/>
    <w:tmpl w:val="3FAC2BBB"/>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
    <w:nsid w:val="417F6AFB"/>
    <w:multiLevelType w:val="multilevel"/>
    <w:tmpl w:val="417F6AFB"/>
    <w:lvl w:ilvl="0" w:tentative="0">
      <w:start w:val="1"/>
      <w:numFmt w:val="bullet"/>
      <w:pStyle w:val="86"/>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B1757E5"/>
    <w:multiLevelType w:val="multilevel"/>
    <w:tmpl w:val="5B1757E5"/>
    <w:lvl w:ilvl="0" w:tentative="0">
      <w:start w:val="1"/>
      <w:numFmt w:val="decimal"/>
      <w:pStyle w:val="2"/>
      <w:lvlText w:val="%1"/>
      <w:lvlJc w:val="left"/>
      <w:pPr>
        <w:ind w:left="432" w:hanging="432"/>
      </w:pPr>
    </w:lvl>
    <w:lvl w:ilvl="1" w:tentative="0">
      <w:start w:val="1"/>
      <w:numFmt w:val="decimal"/>
      <w:lvlText w:val="%1.%2"/>
      <w:lvlJc w:val="left"/>
      <w:pPr>
        <w:ind w:left="718" w:hanging="576"/>
      </w:pPr>
      <w:rPr>
        <w:lang w:val="en-GB"/>
      </w:r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num w:numId="1">
    <w:abstractNumId w:val="8"/>
  </w:num>
  <w:num w:numId="2">
    <w:abstractNumId w:val="7"/>
  </w:num>
  <w:num w:numId="3">
    <w:abstractNumId w:val="3"/>
  </w:num>
  <w:num w:numId="4">
    <w:abstractNumId w:val="4"/>
  </w:num>
  <w:num w:numId="5">
    <w:abstractNumId w:val="2"/>
  </w:num>
  <w:num w:numId="6">
    <w:abstractNumId w:val="6"/>
  </w:num>
  <w:num w:numId="7">
    <w:abstractNumId w:val="5"/>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trackRevisions w:val="1"/>
  <w:documentProtection w:enforcement="0"/>
  <w:defaultTabStop w:val="720"/>
  <w:hyphenationZone w:val="425"/>
  <w:drawingGridHorizontalSpacing w:val="11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610"/>
    <w:rsid w:val="0000385F"/>
    <w:rsid w:val="00003933"/>
    <w:rsid w:val="000039EF"/>
    <w:rsid w:val="00003B1A"/>
    <w:rsid w:val="0000404A"/>
    <w:rsid w:val="000042BE"/>
    <w:rsid w:val="000046BC"/>
    <w:rsid w:val="000047CE"/>
    <w:rsid w:val="00004C4A"/>
    <w:rsid w:val="00004C91"/>
    <w:rsid w:val="00005308"/>
    <w:rsid w:val="0000535F"/>
    <w:rsid w:val="00005767"/>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99A"/>
    <w:rsid w:val="00033E24"/>
    <w:rsid w:val="00034192"/>
    <w:rsid w:val="000342F2"/>
    <w:rsid w:val="000343FC"/>
    <w:rsid w:val="00035191"/>
    <w:rsid w:val="000351CA"/>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295"/>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9A9"/>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2F9"/>
    <w:rsid w:val="0007696E"/>
    <w:rsid w:val="00076AA5"/>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84"/>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55EE"/>
    <w:rsid w:val="000961BF"/>
    <w:rsid w:val="000961DD"/>
    <w:rsid w:val="0009661E"/>
    <w:rsid w:val="00096D83"/>
    <w:rsid w:val="00096EAA"/>
    <w:rsid w:val="00096F56"/>
    <w:rsid w:val="00097059"/>
    <w:rsid w:val="00097067"/>
    <w:rsid w:val="00097071"/>
    <w:rsid w:val="00097072"/>
    <w:rsid w:val="00097A1D"/>
    <w:rsid w:val="00097B65"/>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B43"/>
    <w:rsid w:val="000B7BEA"/>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74"/>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04C"/>
    <w:rsid w:val="000D0C2E"/>
    <w:rsid w:val="000D11A2"/>
    <w:rsid w:val="000D121B"/>
    <w:rsid w:val="000D12AC"/>
    <w:rsid w:val="000D1629"/>
    <w:rsid w:val="000D1708"/>
    <w:rsid w:val="000D17F4"/>
    <w:rsid w:val="000D1B9D"/>
    <w:rsid w:val="000D211B"/>
    <w:rsid w:val="000D2412"/>
    <w:rsid w:val="000D28D4"/>
    <w:rsid w:val="000D2943"/>
    <w:rsid w:val="000D368E"/>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744C"/>
    <w:rsid w:val="000D74AE"/>
    <w:rsid w:val="000D74D2"/>
    <w:rsid w:val="000D74E6"/>
    <w:rsid w:val="000D7C6A"/>
    <w:rsid w:val="000E0137"/>
    <w:rsid w:val="000E020B"/>
    <w:rsid w:val="000E0483"/>
    <w:rsid w:val="000E0670"/>
    <w:rsid w:val="000E0725"/>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DAA"/>
    <w:rsid w:val="000E2F5A"/>
    <w:rsid w:val="000E31C9"/>
    <w:rsid w:val="000E31DF"/>
    <w:rsid w:val="000E36C7"/>
    <w:rsid w:val="000E37C4"/>
    <w:rsid w:val="000E387E"/>
    <w:rsid w:val="000E39A5"/>
    <w:rsid w:val="000E3A9A"/>
    <w:rsid w:val="000E3EE9"/>
    <w:rsid w:val="000E401A"/>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69D"/>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7EB"/>
    <w:rsid w:val="000F3B6D"/>
    <w:rsid w:val="000F3BD5"/>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0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824"/>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827"/>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5CD1"/>
    <w:rsid w:val="001562CD"/>
    <w:rsid w:val="0015646F"/>
    <w:rsid w:val="00156607"/>
    <w:rsid w:val="00156A5E"/>
    <w:rsid w:val="00156B0C"/>
    <w:rsid w:val="00156DF4"/>
    <w:rsid w:val="00157047"/>
    <w:rsid w:val="0015722A"/>
    <w:rsid w:val="0015731C"/>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373"/>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9F1"/>
    <w:rsid w:val="00176B19"/>
    <w:rsid w:val="00176B66"/>
    <w:rsid w:val="00176C11"/>
    <w:rsid w:val="00176C67"/>
    <w:rsid w:val="00176D05"/>
    <w:rsid w:val="0017730A"/>
    <w:rsid w:val="001773F2"/>
    <w:rsid w:val="001774B7"/>
    <w:rsid w:val="00177926"/>
    <w:rsid w:val="00177D21"/>
    <w:rsid w:val="001804B6"/>
    <w:rsid w:val="001805EF"/>
    <w:rsid w:val="001807CB"/>
    <w:rsid w:val="001807D6"/>
    <w:rsid w:val="00180917"/>
    <w:rsid w:val="00180B2B"/>
    <w:rsid w:val="00180CEA"/>
    <w:rsid w:val="001810EE"/>
    <w:rsid w:val="00181178"/>
    <w:rsid w:val="00181316"/>
    <w:rsid w:val="001813E0"/>
    <w:rsid w:val="0018155E"/>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991"/>
    <w:rsid w:val="00185B40"/>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B4B"/>
    <w:rsid w:val="00190BEC"/>
    <w:rsid w:val="00190D4F"/>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820"/>
    <w:rsid w:val="00194D22"/>
    <w:rsid w:val="00194F70"/>
    <w:rsid w:val="0019508B"/>
    <w:rsid w:val="001956BB"/>
    <w:rsid w:val="00195A23"/>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416"/>
    <w:rsid w:val="001D4840"/>
    <w:rsid w:val="001D5020"/>
    <w:rsid w:val="001D5024"/>
    <w:rsid w:val="001D502E"/>
    <w:rsid w:val="001D55C7"/>
    <w:rsid w:val="001D5854"/>
    <w:rsid w:val="001D586F"/>
    <w:rsid w:val="001D5CC1"/>
    <w:rsid w:val="001D6203"/>
    <w:rsid w:val="001D632A"/>
    <w:rsid w:val="001D6436"/>
    <w:rsid w:val="001D6865"/>
    <w:rsid w:val="001D6B3E"/>
    <w:rsid w:val="001D6BA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671"/>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74C"/>
    <w:rsid w:val="00203D93"/>
    <w:rsid w:val="002040DB"/>
    <w:rsid w:val="0020468A"/>
    <w:rsid w:val="002049FA"/>
    <w:rsid w:val="00204EBE"/>
    <w:rsid w:val="00204EE8"/>
    <w:rsid w:val="002053FA"/>
    <w:rsid w:val="00205C1A"/>
    <w:rsid w:val="00205FF6"/>
    <w:rsid w:val="0020611C"/>
    <w:rsid w:val="0020649B"/>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01E"/>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083"/>
    <w:rsid w:val="002245A0"/>
    <w:rsid w:val="00224633"/>
    <w:rsid w:val="00224D5C"/>
    <w:rsid w:val="00224F5E"/>
    <w:rsid w:val="00225028"/>
    <w:rsid w:val="00225081"/>
    <w:rsid w:val="002250B2"/>
    <w:rsid w:val="002256C9"/>
    <w:rsid w:val="00225AF4"/>
    <w:rsid w:val="00225E4E"/>
    <w:rsid w:val="00225FB0"/>
    <w:rsid w:val="002261C0"/>
    <w:rsid w:val="002265B4"/>
    <w:rsid w:val="002268E2"/>
    <w:rsid w:val="002268F2"/>
    <w:rsid w:val="00226CE8"/>
    <w:rsid w:val="00230482"/>
    <w:rsid w:val="002308D8"/>
    <w:rsid w:val="00230D56"/>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B14"/>
    <w:rsid w:val="00244C08"/>
    <w:rsid w:val="00244C60"/>
    <w:rsid w:val="0024519A"/>
    <w:rsid w:val="00245455"/>
    <w:rsid w:val="002454B6"/>
    <w:rsid w:val="002454D5"/>
    <w:rsid w:val="00245AA9"/>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99B"/>
    <w:rsid w:val="00256CA6"/>
    <w:rsid w:val="00256E73"/>
    <w:rsid w:val="002570AA"/>
    <w:rsid w:val="00257192"/>
    <w:rsid w:val="002571D9"/>
    <w:rsid w:val="00257260"/>
    <w:rsid w:val="00257665"/>
    <w:rsid w:val="0025782D"/>
    <w:rsid w:val="002579FE"/>
    <w:rsid w:val="00257CB1"/>
    <w:rsid w:val="00257EA7"/>
    <w:rsid w:val="00260480"/>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7DB"/>
    <w:rsid w:val="00264C6B"/>
    <w:rsid w:val="00264C79"/>
    <w:rsid w:val="00264D37"/>
    <w:rsid w:val="00264E3C"/>
    <w:rsid w:val="00264EA6"/>
    <w:rsid w:val="00264F09"/>
    <w:rsid w:val="00264F20"/>
    <w:rsid w:val="00264F40"/>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9EA"/>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9D9"/>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C56"/>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2F"/>
    <w:rsid w:val="002D3A57"/>
    <w:rsid w:val="002D3EC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1FF"/>
    <w:rsid w:val="002E2217"/>
    <w:rsid w:val="002E253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28C"/>
    <w:rsid w:val="002E65CD"/>
    <w:rsid w:val="002E68BD"/>
    <w:rsid w:val="002E6E72"/>
    <w:rsid w:val="002E72D1"/>
    <w:rsid w:val="002E733D"/>
    <w:rsid w:val="002E79FA"/>
    <w:rsid w:val="002E7C62"/>
    <w:rsid w:val="002E7D9A"/>
    <w:rsid w:val="002F0052"/>
    <w:rsid w:val="002F0222"/>
    <w:rsid w:val="002F049D"/>
    <w:rsid w:val="002F04FE"/>
    <w:rsid w:val="002F0C48"/>
    <w:rsid w:val="002F0E39"/>
    <w:rsid w:val="002F122C"/>
    <w:rsid w:val="002F17BA"/>
    <w:rsid w:val="002F185A"/>
    <w:rsid w:val="002F18B6"/>
    <w:rsid w:val="002F1C8C"/>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D90"/>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0A4"/>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1492"/>
    <w:rsid w:val="00321525"/>
    <w:rsid w:val="003215D3"/>
    <w:rsid w:val="00321A41"/>
    <w:rsid w:val="00321B1F"/>
    <w:rsid w:val="00321EAF"/>
    <w:rsid w:val="00322261"/>
    <w:rsid w:val="0032236F"/>
    <w:rsid w:val="00322531"/>
    <w:rsid w:val="003228D4"/>
    <w:rsid w:val="00323032"/>
    <w:rsid w:val="003231D2"/>
    <w:rsid w:val="00323516"/>
    <w:rsid w:val="003237A4"/>
    <w:rsid w:val="00323B0B"/>
    <w:rsid w:val="00323DBA"/>
    <w:rsid w:val="00324002"/>
    <w:rsid w:val="003240DC"/>
    <w:rsid w:val="00324277"/>
    <w:rsid w:val="00324587"/>
    <w:rsid w:val="00324951"/>
    <w:rsid w:val="00324B8C"/>
    <w:rsid w:val="00324CCE"/>
    <w:rsid w:val="00324F64"/>
    <w:rsid w:val="0032527B"/>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3E1"/>
    <w:rsid w:val="00331502"/>
    <w:rsid w:val="00331749"/>
    <w:rsid w:val="003318D6"/>
    <w:rsid w:val="00331E0D"/>
    <w:rsid w:val="0033205A"/>
    <w:rsid w:val="003322B7"/>
    <w:rsid w:val="0033230D"/>
    <w:rsid w:val="003324BC"/>
    <w:rsid w:val="003324F6"/>
    <w:rsid w:val="0033265C"/>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29D"/>
    <w:rsid w:val="00380856"/>
    <w:rsid w:val="00380939"/>
    <w:rsid w:val="00380B59"/>
    <w:rsid w:val="00380E6D"/>
    <w:rsid w:val="00381238"/>
    <w:rsid w:val="00381849"/>
    <w:rsid w:val="00381AC8"/>
    <w:rsid w:val="00381B10"/>
    <w:rsid w:val="00381C9E"/>
    <w:rsid w:val="00382208"/>
    <w:rsid w:val="00382284"/>
    <w:rsid w:val="003825BB"/>
    <w:rsid w:val="0038280E"/>
    <w:rsid w:val="003828F3"/>
    <w:rsid w:val="00382A2F"/>
    <w:rsid w:val="00382C26"/>
    <w:rsid w:val="00382FD4"/>
    <w:rsid w:val="00382FE5"/>
    <w:rsid w:val="00383CA9"/>
    <w:rsid w:val="003840EF"/>
    <w:rsid w:val="003842AA"/>
    <w:rsid w:val="003842D0"/>
    <w:rsid w:val="003843E2"/>
    <w:rsid w:val="00384687"/>
    <w:rsid w:val="003849D5"/>
    <w:rsid w:val="00384CA4"/>
    <w:rsid w:val="00385031"/>
    <w:rsid w:val="00385102"/>
    <w:rsid w:val="00385259"/>
    <w:rsid w:val="00385418"/>
    <w:rsid w:val="00385437"/>
    <w:rsid w:val="0038564A"/>
    <w:rsid w:val="0038582F"/>
    <w:rsid w:val="00385CB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516"/>
    <w:rsid w:val="003A3973"/>
    <w:rsid w:val="003A3A84"/>
    <w:rsid w:val="003A3F77"/>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72"/>
    <w:rsid w:val="003B7EAF"/>
    <w:rsid w:val="003C03B0"/>
    <w:rsid w:val="003C04A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0FB9"/>
    <w:rsid w:val="003D1123"/>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D7B5B"/>
    <w:rsid w:val="003E0199"/>
    <w:rsid w:val="003E02EE"/>
    <w:rsid w:val="003E0358"/>
    <w:rsid w:val="003E0ADC"/>
    <w:rsid w:val="003E1297"/>
    <w:rsid w:val="003E13D9"/>
    <w:rsid w:val="003E16A8"/>
    <w:rsid w:val="003E17D9"/>
    <w:rsid w:val="003E1907"/>
    <w:rsid w:val="003E1948"/>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B4"/>
    <w:rsid w:val="003F09EB"/>
    <w:rsid w:val="003F0A9A"/>
    <w:rsid w:val="003F0B81"/>
    <w:rsid w:val="003F0E7C"/>
    <w:rsid w:val="003F150A"/>
    <w:rsid w:val="003F1755"/>
    <w:rsid w:val="003F2118"/>
    <w:rsid w:val="003F212F"/>
    <w:rsid w:val="003F21AE"/>
    <w:rsid w:val="003F223E"/>
    <w:rsid w:val="003F2483"/>
    <w:rsid w:val="003F24E3"/>
    <w:rsid w:val="003F25F0"/>
    <w:rsid w:val="003F2759"/>
    <w:rsid w:val="003F29A0"/>
    <w:rsid w:val="003F29D4"/>
    <w:rsid w:val="003F3060"/>
    <w:rsid w:val="003F31E3"/>
    <w:rsid w:val="003F34F9"/>
    <w:rsid w:val="003F3839"/>
    <w:rsid w:val="003F44A1"/>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500"/>
    <w:rsid w:val="00407596"/>
    <w:rsid w:val="004078FD"/>
    <w:rsid w:val="00407C94"/>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D7"/>
    <w:rsid w:val="004161DB"/>
    <w:rsid w:val="004164E6"/>
    <w:rsid w:val="004167A6"/>
    <w:rsid w:val="004167EA"/>
    <w:rsid w:val="004168DB"/>
    <w:rsid w:val="004169E8"/>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397"/>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022"/>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242"/>
    <w:rsid w:val="004312F0"/>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1F9B"/>
    <w:rsid w:val="0044204C"/>
    <w:rsid w:val="0044213C"/>
    <w:rsid w:val="004426B9"/>
    <w:rsid w:val="00442B24"/>
    <w:rsid w:val="00442EF7"/>
    <w:rsid w:val="00442F91"/>
    <w:rsid w:val="004432BF"/>
    <w:rsid w:val="004433AF"/>
    <w:rsid w:val="00443614"/>
    <w:rsid w:val="004438B8"/>
    <w:rsid w:val="00443E2D"/>
    <w:rsid w:val="00443F31"/>
    <w:rsid w:val="004440B1"/>
    <w:rsid w:val="004448BA"/>
    <w:rsid w:val="00444949"/>
    <w:rsid w:val="00444A99"/>
    <w:rsid w:val="00444DF6"/>
    <w:rsid w:val="004451AF"/>
    <w:rsid w:val="004458AA"/>
    <w:rsid w:val="004459BE"/>
    <w:rsid w:val="00445B43"/>
    <w:rsid w:val="00445EA2"/>
    <w:rsid w:val="00445F65"/>
    <w:rsid w:val="004463DC"/>
    <w:rsid w:val="004463DD"/>
    <w:rsid w:val="0044664C"/>
    <w:rsid w:val="004466AD"/>
    <w:rsid w:val="00446701"/>
    <w:rsid w:val="00446BBA"/>
    <w:rsid w:val="00446E50"/>
    <w:rsid w:val="004472B9"/>
    <w:rsid w:val="004475A0"/>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6B9"/>
    <w:rsid w:val="00452B58"/>
    <w:rsid w:val="00452B9D"/>
    <w:rsid w:val="00452C58"/>
    <w:rsid w:val="00452DCB"/>
    <w:rsid w:val="004532E9"/>
    <w:rsid w:val="004535AC"/>
    <w:rsid w:val="00453808"/>
    <w:rsid w:val="00453D1D"/>
    <w:rsid w:val="00454059"/>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3F"/>
    <w:rsid w:val="00465C78"/>
    <w:rsid w:val="00465D22"/>
    <w:rsid w:val="00465F9C"/>
    <w:rsid w:val="00466366"/>
    <w:rsid w:val="00466468"/>
    <w:rsid w:val="00466733"/>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9B"/>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544"/>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14"/>
    <w:rsid w:val="00490B2A"/>
    <w:rsid w:val="00490CE9"/>
    <w:rsid w:val="00490D31"/>
    <w:rsid w:val="004919E8"/>
    <w:rsid w:val="00491BAA"/>
    <w:rsid w:val="00491C68"/>
    <w:rsid w:val="00491E4F"/>
    <w:rsid w:val="004925EA"/>
    <w:rsid w:val="00492709"/>
    <w:rsid w:val="0049289E"/>
    <w:rsid w:val="004928AB"/>
    <w:rsid w:val="00492F91"/>
    <w:rsid w:val="00493179"/>
    <w:rsid w:val="00493377"/>
    <w:rsid w:val="0049359B"/>
    <w:rsid w:val="00493614"/>
    <w:rsid w:val="004937BF"/>
    <w:rsid w:val="00493949"/>
    <w:rsid w:val="00493AFB"/>
    <w:rsid w:val="00494109"/>
    <w:rsid w:val="0049412F"/>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C9"/>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B021B"/>
    <w:rsid w:val="004B04DE"/>
    <w:rsid w:val="004B0885"/>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83B"/>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6F9A"/>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883"/>
    <w:rsid w:val="004D0961"/>
    <w:rsid w:val="004D0963"/>
    <w:rsid w:val="004D0BDB"/>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6F9C"/>
    <w:rsid w:val="004D73BE"/>
    <w:rsid w:val="004D75B2"/>
    <w:rsid w:val="004D7739"/>
    <w:rsid w:val="004D7C14"/>
    <w:rsid w:val="004E0554"/>
    <w:rsid w:val="004E0791"/>
    <w:rsid w:val="004E097A"/>
    <w:rsid w:val="004E09CD"/>
    <w:rsid w:val="004E2129"/>
    <w:rsid w:val="004E275F"/>
    <w:rsid w:val="004E27EC"/>
    <w:rsid w:val="004E2ED1"/>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5C4A"/>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785"/>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04C"/>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0F8F"/>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D84"/>
    <w:rsid w:val="00517E9F"/>
    <w:rsid w:val="00517EDC"/>
    <w:rsid w:val="00517FA1"/>
    <w:rsid w:val="0052014E"/>
    <w:rsid w:val="00520493"/>
    <w:rsid w:val="005208AE"/>
    <w:rsid w:val="00520969"/>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8B5"/>
    <w:rsid w:val="00531999"/>
    <w:rsid w:val="00531AB7"/>
    <w:rsid w:val="00531AFC"/>
    <w:rsid w:val="00531B40"/>
    <w:rsid w:val="00532013"/>
    <w:rsid w:val="005320AD"/>
    <w:rsid w:val="00532464"/>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5F54"/>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0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9F6"/>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7A"/>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DC6"/>
    <w:rsid w:val="00576FB2"/>
    <w:rsid w:val="0057781E"/>
    <w:rsid w:val="005779E9"/>
    <w:rsid w:val="00580071"/>
    <w:rsid w:val="00580205"/>
    <w:rsid w:val="00580258"/>
    <w:rsid w:val="005803EC"/>
    <w:rsid w:val="0058042D"/>
    <w:rsid w:val="00580ABE"/>
    <w:rsid w:val="00580FEE"/>
    <w:rsid w:val="0058129D"/>
    <w:rsid w:val="005813F8"/>
    <w:rsid w:val="00581460"/>
    <w:rsid w:val="005814C3"/>
    <w:rsid w:val="0058167E"/>
    <w:rsid w:val="00581A59"/>
    <w:rsid w:val="00581AFA"/>
    <w:rsid w:val="00581CDC"/>
    <w:rsid w:val="0058208A"/>
    <w:rsid w:val="0058213D"/>
    <w:rsid w:val="005826E1"/>
    <w:rsid w:val="00582809"/>
    <w:rsid w:val="00582835"/>
    <w:rsid w:val="00582980"/>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501"/>
    <w:rsid w:val="005A0823"/>
    <w:rsid w:val="005A0A53"/>
    <w:rsid w:val="005A0D02"/>
    <w:rsid w:val="005A0E02"/>
    <w:rsid w:val="005A0F31"/>
    <w:rsid w:val="005A15AC"/>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5E22"/>
    <w:rsid w:val="005A606F"/>
    <w:rsid w:val="005A648F"/>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F"/>
    <w:rsid w:val="005B2ED7"/>
    <w:rsid w:val="005B3013"/>
    <w:rsid w:val="005B31F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6B7"/>
    <w:rsid w:val="005D7700"/>
    <w:rsid w:val="005D7C00"/>
    <w:rsid w:val="005E0078"/>
    <w:rsid w:val="005E070B"/>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D4"/>
    <w:rsid w:val="005E38B5"/>
    <w:rsid w:val="005E3909"/>
    <w:rsid w:val="005E3C48"/>
    <w:rsid w:val="005E3D58"/>
    <w:rsid w:val="005E3DE0"/>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EF"/>
    <w:rsid w:val="005E6935"/>
    <w:rsid w:val="005E7098"/>
    <w:rsid w:val="005E73BF"/>
    <w:rsid w:val="005E73C4"/>
    <w:rsid w:val="005E7488"/>
    <w:rsid w:val="005E74F5"/>
    <w:rsid w:val="005E7649"/>
    <w:rsid w:val="005E7D21"/>
    <w:rsid w:val="005E7D2D"/>
    <w:rsid w:val="005F0441"/>
    <w:rsid w:val="005F078B"/>
    <w:rsid w:val="005F0CC1"/>
    <w:rsid w:val="005F0DE3"/>
    <w:rsid w:val="005F0E70"/>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2B"/>
    <w:rsid w:val="005F37F2"/>
    <w:rsid w:val="005F3A81"/>
    <w:rsid w:val="005F3E0E"/>
    <w:rsid w:val="005F410A"/>
    <w:rsid w:val="005F4168"/>
    <w:rsid w:val="005F4412"/>
    <w:rsid w:val="005F4539"/>
    <w:rsid w:val="005F5282"/>
    <w:rsid w:val="005F54FB"/>
    <w:rsid w:val="005F5B04"/>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F4E"/>
    <w:rsid w:val="006060BF"/>
    <w:rsid w:val="00606274"/>
    <w:rsid w:val="00606581"/>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716F"/>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87B"/>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5C"/>
    <w:rsid w:val="0063418C"/>
    <w:rsid w:val="00634224"/>
    <w:rsid w:val="006342C4"/>
    <w:rsid w:val="00634407"/>
    <w:rsid w:val="00634B84"/>
    <w:rsid w:val="006350C3"/>
    <w:rsid w:val="0063587F"/>
    <w:rsid w:val="006359FC"/>
    <w:rsid w:val="00635A6B"/>
    <w:rsid w:val="00635D9E"/>
    <w:rsid w:val="00635EFB"/>
    <w:rsid w:val="00636345"/>
    <w:rsid w:val="006369EE"/>
    <w:rsid w:val="00636AF5"/>
    <w:rsid w:val="00636CB8"/>
    <w:rsid w:val="00636CE7"/>
    <w:rsid w:val="00636EFE"/>
    <w:rsid w:val="006375AC"/>
    <w:rsid w:val="00637747"/>
    <w:rsid w:val="006377EB"/>
    <w:rsid w:val="00637BD0"/>
    <w:rsid w:val="00637BDB"/>
    <w:rsid w:val="00637C54"/>
    <w:rsid w:val="006401B6"/>
    <w:rsid w:val="00640444"/>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72E"/>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70F"/>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11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4DE7"/>
    <w:rsid w:val="00665869"/>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C8"/>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1F48"/>
    <w:rsid w:val="00682014"/>
    <w:rsid w:val="00682166"/>
    <w:rsid w:val="00682257"/>
    <w:rsid w:val="0068225D"/>
    <w:rsid w:val="006826AD"/>
    <w:rsid w:val="006828E4"/>
    <w:rsid w:val="00682B4D"/>
    <w:rsid w:val="00682C42"/>
    <w:rsid w:val="006834C6"/>
    <w:rsid w:val="00683680"/>
    <w:rsid w:val="0068383F"/>
    <w:rsid w:val="00683ABC"/>
    <w:rsid w:val="00683B15"/>
    <w:rsid w:val="00683C7D"/>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43B"/>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2E7"/>
    <w:rsid w:val="00693304"/>
    <w:rsid w:val="00693AA1"/>
    <w:rsid w:val="00693C6D"/>
    <w:rsid w:val="00693C7B"/>
    <w:rsid w:val="00693DCF"/>
    <w:rsid w:val="00694405"/>
    <w:rsid w:val="006947F0"/>
    <w:rsid w:val="00694A0D"/>
    <w:rsid w:val="00694B98"/>
    <w:rsid w:val="00694DD0"/>
    <w:rsid w:val="0069529C"/>
    <w:rsid w:val="00695767"/>
    <w:rsid w:val="0069576C"/>
    <w:rsid w:val="006957B5"/>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D5F"/>
    <w:rsid w:val="006A2F06"/>
    <w:rsid w:val="006A2F0E"/>
    <w:rsid w:val="006A31CF"/>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0C"/>
    <w:rsid w:val="006A5EA2"/>
    <w:rsid w:val="006A64F8"/>
    <w:rsid w:val="006A658F"/>
    <w:rsid w:val="006A676A"/>
    <w:rsid w:val="006A6CA3"/>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9BC"/>
    <w:rsid w:val="006B1B56"/>
    <w:rsid w:val="006B1E7F"/>
    <w:rsid w:val="006B1F08"/>
    <w:rsid w:val="006B20A3"/>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A39"/>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6F2E"/>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B92"/>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9D"/>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18E1"/>
    <w:rsid w:val="00741A23"/>
    <w:rsid w:val="00742982"/>
    <w:rsid w:val="00742A27"/>
    <w:rsid w:val="00742AF5"/>
    <w:rsid w:val="00742F71"/>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DE9"/>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4086"/>
    <w:rsid w:val="00754128"/>
    <w:rsid w:val="007542CF"/>
    <w:rsid w:val="00754533"/>
    <w:rsid w:val="00754619"/>
    <w:rsid w:val="007548F4"/>
    <w:rsid w:val="00754AAC"/>
    <w:rsid w:val="00754B12"/>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18D"/>
    <w:rsid w:val="0076640E"/>
    <w:rsid w:val="00766478"/>
    <w:rsid w:val="007668BA"/>
    <w:rsid w:val="00766FB5"/>
    <w:rsid w:val="00767463"/>
    <w:rsid w:val="0076775E"/>
    <w:rsid w:val="00767830"/>
    <w:rsid w:val="007679BA"/>
    <w:rsid w:val="007679D1"/>
    <w:rsid w:val="00767B5C"/>
    <w:rsid w:val="00767B68"/>
    <w:rsid w:val="00767D8E"/>
    <w:rsid w:val="00767E9D"/>
    <w:rsid w:val="00770400"/>
    <w:rsid w:val="00770634"/>
    <w:rsid w:val="00770A60"/>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4B"/>
    <w:rsid w:val="00780BDF"/>
    <w:rsid w:val="00780CBE"/>
    <w:rsid w:val="00780CF8"/>
    <w:rsid w:val="00781654"/>
    <w:rsid w:val="007818E3"/>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A7"/>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C9"/>
    <w:rsid w:val="00797B8E"/>
    <w:rsid w:val="00797DD7"/>
    <w:rsid w:val="00797E30"/>
    <w:rsid w:val="00797FC7"/>
    <w:rsid w:val="007A0303"/>
    <w:rsid w:val="007A0337"/>
    <w:rsid w:val="007A05CF"/>
    <w:rsid w:val="007A0664"/>
    <w:rsid w:val="007A0F76"/>
    <w:rsid w:val="007A111A"/>
    <w:rsid w:val="007A15A9"/>
    <w:rsid w:val="007A169F"/>
    <w:rsid w:val="007A1821"/>
    <w:rsid w:val="007A1A14"/>
    <w:rsid w:val="007A1A25"/>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973"/>
    <w:rsid w:val="007A3A16"/>
    <w:rsid w:val="007A3CC5"/>
    <w:rsid w:val="007A3CD8"/>
    <w:rsid w:val="007A468F"/>
    <w:rsid w:val="007A48F7"/>
    <w:rsid w:val="007A4ABF"/>
    <w:rsid w:val="007A4E8D"/>
    <w:rsid w:val="007A5140"/>
    <w:rsid w:val="007A560D"/>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1C07"/>
    <w:rsid w:val="007B23D1"/>
    <w:rsid w:val="007B24C2"/>
    <w:rsid w:val="007B26E2"/>
    <w:rsid w:val="007B2874"/>
    <w:rsid w:val="007B28B3"/>
    <w:rsid w:val="007B2F94"/>
    <w:rsid w:val="007B3034"/>
    <w:rsid w:val="007B32C6"/>
    <w:rsid w:val="007B3400"/>
    <w:rsid w:val="007B359C"/>
    <w:rsid w:val="007B37DB"/>
    <w:rsid w:val="007B3C3E"/>
    <w:rsid w:val="007B3F9E"/>
    <w:rsid w:val="007B43D0"/>
    <w:rsid w:val="007B4508"/>
    <w:rsid w:val="007B4606"/>
    <w:rsid w:val="007B4637"/>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4F9"/>
    <w:rsid w:val="007C65BD"/>
    <w:rsid w:val="007C65C2"/>
    <w:rsid w:val="007C6CD2"/>
    <w:rsid w:val="007C6E52"/>
    <w:rsid w:val="007C7263"/>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1DC"/>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5E18"/>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2AF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AE7"/>
    <w:rsid w:val="00800B31"/>
    <w:rsid w:val="00800C5F"/>
    <w:rsid w:val="00800E9F"/>
    <w:rsid w:val="008010A7"/>
    <w:rsid w:val="008011B8"/>
    <w:rsid w:val="0080164C"/>
    <w:rsid w:val="00801864"/>
    <w:rsid w:val="0080194B"/>
    <w:rsid w:val="00801B7C"/>
    <w:rsid w:val="00801D2F"/>
    <w:rsid w:val="00801E9F"/>
    <w:rsid w:val="00801F83"/>
    <w:rsid w:val="008020AA"/>
    <w:rsid w:val="008020EF"/>
    <w:rsid w:val="008021E5"/>
    <w:rsid w:val="0080235B"/>
    <w:rsid w:val="00802365"/>
    <w:rsid w:val="00802A04"/>
    <w:rsid w:val="00802A69"/>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3E"/>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64C"/>
    <w:rsid w:val="0083092C"/>
    <w:rsid w:val="00830939"/>
    <w:rsid w:val="00830958"/>
    <w:rsid w:val="00830B20"/>
    <w:rsid w:val="00830B2E"/>
    <w:rsid w:val="00830D49"/>
    <w:rsid w:val="00830DC9"/>
    <w:rsid w:val="00830E6C"/>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5F01"/>
    <w:rsid w:val="008461B6"/>
    <w:rsid w:val="00846315"/>
    <w:rsid w:val="00846322"/>
    <w:rsid w:val="008463D0"/>
    <w:rsid w:val="008465D4"/>
    <w:rsid w:val="00846DBD"/>
    <w:rsid w:val="008470D7"/>
    <w:rsid w:val="0084714B"/>
    <w:rsid w:val="00847201"/>
    <w:rsid w:val="00847225"/>
    <w:rsid w:val="008479B1"/>
    <w:rsid w:val="00847B2B"/>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50"/>
    <w:rsid w:val="008544AC"/>
    <w:rsid w:val="00854503"/>
    <w:rsid w:val="00854D46"/>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B92"/>
    <w:rsid w:val="00863CBF"/>
    <w:rsid w:val="00863D4D"/>
    <w:rsid w:val="00863E8E"/>
    <w:rsid w:val="00863FD3"/>
    <w:rsid w:val="0086411C"/>
    <w:rsid w:val="0086432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99"/>
    <w:rsid w:val="008669B0"/>
    <w:rsid w:val="00866A14"/>
    <w:rsid w:val="00866B35"/>
    <w:rsid w:val="00866EA5"/>
    <w:rsid w:val="008670DB"/>
    <w:rsid w:val="008678DD"/>
    <w:rsid w:val="00867C69"/>
    <w:rsid w:val="00870358"/>
    <w:rsid w:val="00870891"/>
    <w:rsid w:val="00870954"/>
    <w:rsid w:val="00870A9D"/>
    <w:rsid w:val="00870B51"/>
    <w:rsid w:val="00870DF8"/>
    <w:rsid w:val="008710AE"/>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99"/>
    <w:rsid w:val="008918DB"/>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07"/>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77E"/>
    <w:rsid w:val="008A0824"/>
    <w:rsid w:val="008A0B8F"/>
    <w:rsid w:val="008A0C84"/>
    <w:rsid w:val="008A0DB0"/>
    <w:rsid w:val="008A10BA"/>
    <w:rsid w:val="008A1415"/>
    <w:rsid w:val="008A1427"/>
    <w:rsid w:val="008A18EE"/>
    <w:rsid w:val="008A1D3A"/>
    <w:rsid w:val="008A1F19"/>
    <w:rsid w:val="008A26D4"/>
    <w:rsid w:val="008A275A"/>
    <w:rsid w:val="008A295F"/>
    <w:rsid w:val="008A2B53"/>
    <w:rsid w:val="008A2CB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4F20"/>
    <w:rsid w:val="008A5228"/>
    <w:rsid w:val="008A53A7"/>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3B"/>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CDD"/>
    <w:rsid w:val="008D0E6D"/>
    <w:rsid w:val="008D0ED2"/>
    <w:rsid w:val="008D1512"/>
    <w:rsid w:val="008D1AF4"/>
    <w:rsid w:val="008D1C24"/>
    <w:rsid w:val="008D1D5E"/>
    <w:rsid w:val="008D1E21"/>
    <w:rsid w:val="008D1E95"/>
    <w:rsid w:val="008D208F"/>
    <w:rsid w:val="008D2408"/>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B90"/>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6DB"/>
    <w:rsid w:val="009058B8"/>
    <w:rsid w:val="00905956"/>
    <w:rsid w:val="00905CFB"/>
    <w:rsid w:val="00906097"/>
    <w:rsid w:val="009065EC"/>
    <w:rsid w:val="00906616"/>
    <w:rsid w:val="00906914"/>
    <w:rsid w:val="009069E7"/>
    <w:rsid w:val="00906A9A"/>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1E3A"/>
    <w:rsid w:val="009124B5"/>
    <w:rsid w:val="009125B8"/>
    <w:rsid w:val="00912994"/>
    <w:rsid w:val="009129C0"/>
    <w:rsid w:val="00912A08"/>
    <w:rsid w:val="00912AC2"/>
    <w:rsid w:val="00912AE5"/>
    <w:rsid w:val="00912C81"/>
    <w:rsid w:val="00912D82"/>
    <w:rsid w:val="00912E06"/>
    <w:rsid w:val="00912F78"/>
    <w:rsid w:val="009135D8"/>
    <w:rsid w:val="009137AC"/>
    <w:rsid w:val="00913B82"/>
    <w:rsid w:val="00913D0F"/>
    <w:rsid w:val="00913E64"/>
    <w:rsid w:val="009141E3"/>
    <w:rsid w:val="00914306"/>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C7"/>
    <w:rsid w:val="009169F4"/>
    <w:rsid w:val="00916BD1"/>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D73"/>
    <w:rsid w:val="00924EAE"/>
    <w:rsid w:val="00924FC4"/>
    <w:rsid w:val="00925997"/>
    <w:rsid w:val="00925BCE"/>
    <w:rsid w:val="00925BE0"/>
    <w:rsid w:val="00925C0C"/>
    <w:rsid w:val="00926208"/>
    <w:rsid w:val="009262C4"/>
    <w:rsid w:val="009264D5"/>
    <w:rsid w:val="00926551"/>
    <w:rsid w:val="009266EE"/>
    <w:rsid w:val="009267EE"/>
    <w:rsid w:val="00926948"/>
    <w:rsid w:val="00926A17"/>
    <w:rsid w:val="00926A4E"/>
    <w:rsid w:val="00926C46"/>
    <w:rsid w:val="009272C6"/>
    <w:rsid w:val="00927418"/>
    <w:rsid w:val="00927733"/>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5FE2"/>
    <w:rsid w:val="009361D7"/>
    <w:rsid w:val="00936208"/>
    <w:rsid w:val="00936771"/>
    <w:rsid w:val="00936C68"/>
    <w:rsid w:val="00937087"/>
    <w:rsid w:val="009370FA"/>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DCC"/>
    <w:rsid w:val="00947F1D"/>
    <w:rsid w:val="00947F4F"/>
    <w:rsid w:val="00950289"/>
    <w:rsid w:val="00950389"/>
    <w:rsid w:val="009503F5"/>
    <w:rsid w:val="00950523"/>
    <w:rsid w:val="0095069C"/>
    <w:rsid w:val="009508CB"/>
    <w:rsid w:val="009508F2"/>
    <w:rsid w:val="00950D1A"/>
    <w:rsid w:val="0095120E"/>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6AD"/>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8BA"/>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87D"/>
    <w:rsid w:val="00994A15"/>
    <w:rsid w:val="00994B63"/>
    <w:rsid w:val="00994EF6"/>
    <w:rsid w:val="00994F04"/>
    <w:rsid w:val="009958DE"/>
    <w:rsid w:val="00995A67"/>
    <w:rsid w:val="00995BE6"/>
    <w:rsid w:val="00995C90"/>
    <w:rsid w:val="00995C94"/>
    <w:rsid w:val="00995CB1"/>
    <w:rsid w:val="00995CBC"/>
    <w:rsid w:val="00995D73"/>
    <w:rsid w:val="00995FDC"/>
    <w:rsid w:val="009966DB"/>
    <w:rsid w:val="009968E0"/>
    <w:rsid w:val="00996B9D"/>
    <w:rsid w:val="009973FE"/>
    <w:rsid w:val="00997490"/>
    <w:rsid w:val="00997508"/>
    <w:rsid w:val="00997749"/>
    <w:rsid w:val="00997BD1"/>
    <w:rsid w:val="00997D3B"/>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5E4"/>
    <w:rsid w:val="009C3612"/>
    <w:rsid w:val="009C397C"/>
    <w:rsid w:val="009C3A2D"/>
    <w:rsid w:val="009C3AEA"/>
    <w:rsid w:val="009C3B8E"/>
    <w:rsid w:val="009C3CE7"/>
    <w:rsid w:val="009C4091"/>
    <w:rsid w:val="009C4200"/>
    <w:rsid w:val="009C4E0E"/>
    <w:rsid w:val="009C4E33"/>
    <w:rsid w:val="009C4E6E"/>
    <w:rsid w:val="009C4FD9"/>
    <w:rsid w:val="009C5497"/>
    <w:rsid w:val="009C564D"/>
    <w:rsid w:val="009C5A8B"/>
    <w:rsid w:val="009C5B88"/>
    <w:rsid w:val="009C608C"/>
    <w:rsid w:val="009C62A8"/>
    <w:rsid w:val="009C657F"/>
    <w:rsid w:val="009C68AE"/>
    <w:rsid w:val="009C6A81"/>
    <w:rsid w:val="009C6CC9"/>
    <w:rsid w:val="009C6F11"/>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AC7"/>
    <w:rsid w:val="009E0CCC"/>
    <w:rsid w:val="009E0E34"/>
    <w:rsid w:val="009E1027"/>
    <w:rsid w:val="009E1295"/>
    <w:rsid w:val="009E1908"/>
    <w:rsid w:val="009E19C2"/>
    <w:rsid w:val="009E1B7A"/>
    <w:rsid w:val="009E1B85"/>
    <w:rsid w:val="009E2AF5"/>
    <w:rsid w:val="009E2B7A"/>
    <w:rsid w:val="009E2CD6"/>
    <w:rsid w:val="009E304E"/>
    <w:rsid w:val="009E3151"/>
    <w:rsid w:val="009E3590"/>
    <w:rsid w:val="009E36BC"/>
    <w:rsid w:val="009E3D78"/>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DB3"/>
    <w:rsid w:val="00A01F41"/>
    <w:rsid w:val="00A01F71"/>
    <w:rsid w:val="00A023F5"/>
    <w:rsid w:val="00A024B7"/>
    <w:rsid w:val="00A0267E"/>
    <w:rsid w:val="00A02982"/>
    <w:rsid w:val="00A02A9F"/>
    <w:rsid w:val="00A02FE1"/>
    <w:rsid w:val="00A031C0"/>
    <w:rsid w:val="00A033E3"/>
    <w:rsid w:val="00A03638"/>
    <w:rsid w:val="00A0381C"/>
    <w:rsid w:val="00A03867"/>
    <w:rsid w:val="00A038E9"/>
    <w:rsid w:val="00A03A7D"/>
    <w:rsid w:val="00A03B27"/>
    <w:rsid w:val="00A03CEC"/>
    <w:rsid w:val="00A03F6F"/>
    <w:rsid w:val="00A04207"/>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6B0"/>
    <w:rsid w:val="00A0673C"/>
    <w:rsid w:val="00A06B63"/>
    <w:rsid w:val="00A06D57"/>
    <w:rsid w:val="00A06EE9"/>
    <w:rsid w:val="00A06FDC"/>
    <w:rsid w:val="00A072C3"/>
    <w:rsid w:val="00A073A5"/>
    <w:rsid w:val="00A07434"/>
    <w:rsid w:val="00A07885"/>
    <w:rsid w:val="00A100C9"/>
    <w:rsid w:val="00A10124"/>
    <w:rsid w:val="00A10416"/>
    <w:rsid w:val="00A1076C"/>
    <w:rsid w:val="00A108EA"/>
    <w:rsid w:val="00A10D37"/>
    <w:rsid w:val="00A112A9"/>
    <w:rsid w:val="00A112CC"/>
    <w:rsid w:val="00A112E5"/>
    <w:rsid w:val="00A11456"/>
    <w:rsid w:val="00A11535"/>
    <w:rsid w:val="00A1156D"/>
    <w:rsid w:val="00A11BE6"/>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683D"/>
    <w:rsid w:val="00A1754C"/>
    <w:rsid w:val="00A17709"/>
    <w:rsid w:val="00A1794F"/>
    <w:rsid w:val="00A17D24"/>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4DE"/>
    <w:rsid w:val="00A256DD"/>
    <w:rsid w:val="00A256F9"/>
    <w:rsid w:val="00A257B7"/>
    <w:rsid w:val="00A25A7B"/>
    <w:rsid w:val="00A25B96"/>
    <w:rsid w:val="00A25E77"/>
    <w:rsid w:val="00A2614E"/>
    <w:rsid w:val="00A2674D"/>
    <w:rsid w:val="00A2679F"/>
    <w:rsid w:val="00A26800"/>
    <w:rsid w:val="00A269FC"/>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52F"/>
    <w:rsid w:val="00A34E6C"/>
    <w:rsid w:val="00A353A1"/>
    <w:rsid w:val="00A354CE"/>
    <w:rsid w:val="00A355DF"/>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A34"/>
    <w:rsid w:val="00A42D05"/>
    <w:rsid w:val="00A4305C"/>
    <w:rsid w:val="00A43215"/>
    <w:rsid w:val="00A4341F"/>
    <w:rsid w:val="00A434F5"/>
    <w:rsid w:val="00A438A8"/>
    <w:rsid w:val="00A4393C"/>
    <w:rsid w:val="00A43EB6"/>
    <w:rsid w:val="00A44B5C"/>
    <w:rsid w:val="00A44C2E"/>
    <w:rsid w:val="00A44DB4"/>
    <w:rsid w:val="00A453EA"/>
    <w:rsid w:val="00A45795"/>
    <w:rsid w:val="00A45A5F"/>
    <w:rsid w:val="00A45C54"/>
    <w:rsid w:val="00A464D0"/>
    <w:rsid w:val="00A464FF"/>
    <w:rsid w:val="00A46943"/>
    <w:rsid w:val="00A46A04"/>
    <w:rsid w:val="00A46F81"/>
    <w:rsid w:val="00A4725A"/>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7E5"/>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0A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801"/>
    <w:rsid w:val="00A749B7"/>
    <w:rsid w:val="00A74A3A"/>
    <w:rsid w:val="00A74C86"/>
    <w:rsid w:val="00A74CF9"/>
    <w:rsid w:val="00A75287"/>
    <w:rsid w:val="00A752F0"/>
    <w:rsid w:val="00A754B6"/>
    <w:rsid w:val="00A75594"/>
    <w:rsid w:val="00A7582E"/>
    <w:rsid w:val="00A7599D"/>
    <w:rsid w:val="00A75A45"/>
    <w:rsid w:val="00A75B6B"/>
    <w:rsid w:val="00A75C7F"/>
    <w:rsid w:val="00A75F17"/>
    <w:rsid w:val="00A75FC1"/>
    <w:rsid w:val="00A7602D"/>
    <w:rsid w:val="00A76047"/>
    <w:rsid w:val="00A76236"/>
    <w:rsid w:val="00A765AD"/>
    <w:rsid w:val="00A76A03"/>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3CBE"/>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16A"/>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CF8"/>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97D91"/>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6C1"/>
    <w:rsid w:val="00AA68D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C8"/>
    <w:rsid w:val="00AB09E1"/>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681"/>
    <w:rsid w:val="00AB3D99"/>
    <w:rsid w:val="00AB3EA4"/>
    <w:rsid w:val="00AB3F11"/>
    <w:rsid w:val="00AB45FE"/>
    <w:rsid w:val="00AB49D6"/>
    <w:rsid w:val="00AB4D84"/>
    <w:rsid w:val="00AB505A"/>
    <w:rsid w:val="00AB5061"/>
    <w:rsid w:val="00AB5081"/>
    <w:rsid w:val="00AB5092"/>
    <w:rsid w:val="00AB5501"/>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3D3"/>
    <w:rsid w:val="00AC5741"/>
    <w:rsid w:val="00AC5818"/>
    <w:rsid w:val="00AC59C0"/>
    <w:rsid w:val="00AC5CF4"/>
    <w:rsid w:val="00AC5E16"/>
    <w:rsid w:val="00AC67C1"/>
    <w:rsid w:val="00AC6DD5"/>
    <w:rsid w:val="00AC6E02"/>
    <w:rsid w:val="00AC6E54"/>
    <w:rsid w:val="00AC6EA4"/>
    <w:rsid w:val="00AC70B8"/>
    <w:rsid w:val="00AC712E"/>
    <w:rsid w:val="00AC73B4"/>
    <w:rsid w:val="00AC749D"/>
    <w:rsid w:val="00AC7677"/>
    <w:rsid w:val="00AC7695"/>
    <w:rsid w:val="00AC7803"/>
    <w:rsid w:val="00AC7942"/>
    <w:rsid w:val="00AC7B06"/>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420"/>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3F8"/>
    <w:rsid w:val="00AF789D"/>
    <w:rsid w:val="00AF79BF"/>
    <w:rsid w:val="00AF7CD0"/>
    <w:rsid w:val="00B0010A"/>
    <w:rsid w:val="00B005CE"/>
    <w:rsid w:val="00B006CC"/>
    <w:rsid w:val="00B007FD"/>
    <w:rsid w:val="00B00850"/>
    <w:rsid w:val="00B00AE5"/>
    <w:rsid w:val="00B00BE9"/>
    <w:rsid w:val="00B00D5B"/>
    <w:rsid w:val="00B00DC6"/>
    <w:rsid w:val="00B016B6"/>
    <w:rsid w:val="00B01A1D"/>
    <w:rsid w:val="00B01EC0"/>
    <w:rsid w:val="00B0203F"/>
    <w:rsid w:val="00B02119"/>
    <w:rsid w:val="00B023A6"/>
    <w:rsid w:val="00B025F8"/>
    <w:rsid w:val="00B028BC"/>
    <w:rsid w:val="00B0301B"/>
    <w:rsid w:val="00B0345A"/>
    <w:rsid w:val="00B038F0"/>
    <w:rsid w:val="00B0391C"/>
    <w:rsid w:val="00B039B4"/>
    <w:rsid w:val="00B03C4B"/>
    <w:rsid w:val="00B03E26"/>
    <w:rsid w:val="00B03F2A"/>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30D"/>
    <w:rsid w:val="00B2039E"/>
    <w:rsid w:val="00B20400"/>
    <w:rsid w:val="00B20576"/>
    <w:rsid w:val="00B206D2"/>
    <w:rsid w:val="00B208C5"/>
    <w:rsid w:val="00B20934"/>
    <w:rsid w:val="00B2145B"/>
    <w:rsid w:val="00B2177A"/>
    <w:rsid w:val="00B21858"/>
    <w:rsid w:val="00B21C98"/>
    <w:rsid w:val="00B21E74"/>
    <w:rsid w:val="00B22074"/>
    <w:rsid w:val="00B227CF"/>
    <w:rsid w:val="00B22A7E"/>
    <w:rsid w:val="00B22AB5"/>
    <w:rsid w:val="00B22CFE"/>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27F"/>
    <w:rsid w:val="00B44440"/>
    <w:rsid w:val="00B446BC"/>
    <w:rsid w:val="00B447CF"/>
    <w:rsid w:val="00B448D5"/>
    <w:rsid w:val="00B44B13"/>
    <w:rsid w:val="00B44CD4"/>
    <w:rsid w:val="00B44E1D"/>
    <w:rsid w:val="00B44ED3"/>
    <w:rsid w:val="00B451F2"/>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57F"/>
    <w:rsid w:val="00B506B4"/>
    <w:rsid w:val="00B506BC"/>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5EE"/>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8D9"/>
    <w:rsid w:val="00B839D2"/>
    <w:rsid w:val="00B83EAD"/>
    <w:rsid w:val="00B83EB6"/>
    <w:rsid w:val="00B8466B"/>
    <w:rsid w:val="00B84965"/>
    <w:rsid w:val="00B84A30"/>
    <w:rsid w:val="00B84FFA"/>
    <w:rsid w:val="00B850D1"/>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112"/>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AAB"/>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80F"/>
    <w:rsid w:val="00BB3979"/>
    <w:rsid w:val="00BB3A48"/>
    <w:rsid w:val="00BB3C0E"/>
    <w:rsid w:val="00BB3E51"/>
    <w:rsid w:val="00BB4036"/>
    <w:rsid w:val="00BB43B0"/>
    <w:rsid w:val="00BB4653"/>
    <w:rsid w:val="00BB4AB4"/>
    <w:rsid w:val="00BB4F6F"/>
    <w:rsid w:val="00BB4F88"/>
    <w:rsid w:val="00BB5087"/>
    <w:rsid w:val="00BB50F6"/>
    <w:rsid w:val="00BB5248"/>
    <w:rsid w:val="00BB5432"/>
    <w:rsid w:val="00BB5516"/>
    <w:rsid w:val="00BB5526"/>
    <w:rsid w:val="00BB5714"/>
    <w:rsid w:val="00BB57F8"/>
    <w:rsid w:val="00BB5835"/>
    <w:rsid w:val="00BB5843"/>
    <w:rsid w:val="00BB6339"/>
    <w:rsid w:val="00BB6837"/>
    <w:rsid w:val="00BB6867"/>
    <w:rsid w:val="00BB6DAC"/>
    <w:rsid w:val="00BB754E"/>
    <w:rsid w:val="00BB76C7"/>
    <w:rsid w:val="00BB7848"/>
    <w:rsid w:val="00BB7923"/>
    <w:rsid w:val="00BB7A12"/>
    <w:rsid w:val="00BB7AB2"/>
    <w:rsid w:val="00BB7C28"/>
    <w:rsid w:val="00BB7C75"/>
    <w:rsid w:val="00BB7C9B"/>
    <w:rsid w:val="00BB7E2B"/>
    <w:rsid w:val="00BB7EDE"/>
    <w:rsid w:val="00BC0060"/>
    <w:rsid w:val="00BC065D"/>
    <w:rsid w:val="00BC0914"/>
    <w:rsid w:val="00BC0A00"/>
    <w:rsid w:val="00BC0C46"/>
    <w:rsid w:val="00BC0C7D"/>
    <w:rsid w:val="00BC0E7F"/>
    <w:rsid w:val="00BC13DE"/>
    <w:rsid w:val="00BC16FD"/>
    <w:rsid w:val="00BC171D"/>
    <w:rsid w:val="00BC1C66"/>
    <w:rsid w:val="00BC1C7F"/>
    <w:rsid w:val="00BC1EC9"/>
    <w:rsid w:val="00BC1F3F"/>
    <w:rsid w:val="00BC2880"/>
    <w:rsid w:val="00BC2C07"/>
    <w:rsid w:val="00BC2C2C"/>
    <w:rsid w:val="00BC2D0C"/>
    <w:rsid w:val="00BC32CB"/>
    <w:rsid w:val="00BC361B"/>
    <w:rsid w:val="00BC3882"/>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652"/>
    <w:rsid w:val="00BC6714"/>
    <w:rsid w:val="00BC6840"/>
    <w:rsid w:val="00BC69CB"/>
    <w:rsid w:val="00BC6D8D"/>
    <w:rsid w:val="00BC6E69"/>
    <w:rsid w:val="00BC715A"/>
    <w:rsid w:val="00BC7174"/>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983"/>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AF1"/>
    <w:rsid w:val="00BF2C2C"/>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D0F"/>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952"/>
    <w:rsid w:val="00C16CA8"/>
    <w:rsid w:val="00C16CC5"/>
    <w:rsid w:val="00C16CC9"/>
    <w:rsid w:val="00C16D1D"/>
    <w:rsid w:val="00C1732B"/>
    <w:rsid w:val="00C17571"/>
    <w:rsid w:val="00C17579"/>
    <w:rsid w:val="00C178B1"/>
    <w:rsid w:val="00C17949"/>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82"/>
    <w:rsid w:val="00C22AF4"/>
    <w:rsid w:val="00C2319A"/>
    <w:rsid w:val="00C23547"/>
    <w:rsid w:val="00C236BE"/>
    <w:rsid w:val="00C2371F"/>
    <w:rsid w:val="00C23A30"/>
    <w:rsid w:val="00C23C77"/>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4A9F"/>
    <w:rsid w:val="00C44BB8"/>
    <w:rsid w:val="00C452EF"/>
    <w:rsid w:val="00C45577"/>
    <w:rsid w:val="00C4559F"/>
    <w:rsid w:val="00C455E2"/>
    <w:rsid w:val="00C45659"/>
    <w:rsid w:val="00C4578D"/>
    <w:rsid w:val="00C457B7"/>
    <w:rsid w:val="00C45C52"/>
    <w:rsid w:val="00C45CE7"/>
    <w:rsid w:val="00C45E4A"/>
    <w:rsid w:val="00C45EB9"/>
    <w:rsid w:val="00C460BE"/>
    <w:rsid w:val="00C463AA"/>
    <w:rsid w:val="00C464DE"/>
    <w:rsid w:val="00C465A5"/>
    <w:rsid w:val="00C46648"/>
    <w:rsid w:val="00C466AA"/>
    <w:rsid w:val="00C46714"/>
    <w:rsid w:val="00C46AB4"/>
    <w:rsid w:val="00C470D3"/>
    <w:rsid w:val="00C4714B"/>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002"/>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9F7"/>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BB"/>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99B"/>
    <w:rsid w:val="00C94FCD"/>
    <w:rsid w:val="00C95300"/>
    <w:rsid w:val="00C954AE"/>
    <w:rsid w:val="00C954EF"/>
    <w:rsid w:val="00C9585A"/>
    <w:rsid w:val="00C958F9"/>
    <w:rsid w:val="00C95C73"/>
    <w:rsid w:val="00C96366"/>
    <w:rsid w:val="00C96938"/>
    <w:rsid w:val="00C96C2E"/>
    <w:rsid w:val="00C96CA0"/>
    <w:rsid w:val="00C96DB9"/>
    <w:rsid w:val="00C974C3"/>
    <w:rsid w:val="00C97BB6"/>
    <w:rsid w:val="00C97CBC"/>
    <w:rsid w:val="00C97CF9"/>
    <w:rsid w:val="00CA0099"/>
    <w:rsid w:val="00CA01EA"/>
    <w:rsid w:val="00CA030B"/>
    <w:rsid w:val="00CA046A"/>
    <w:rsid w:val="00CA061F"/>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27"/>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02"/>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9CD"/>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DE8"/>
    <w:rsid w:val="00CC7E64"/>
    <w:rsid w:val="00CC7F04"/>
    <w:rsid w:val="00CD03EE"/>
    <w:rsid w:val="00CD041F"/>
    <w:rsid w:val="00CD0429"/>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9A9"/>
    <w:rsid w:val="00CF2AFE"/>
    <w:rsid w:val="00CF2EC6"/>
    <w:rsid w:val="00CF3006"/>
    <w:rsid w:val="00CF334B"/>
    <w:rsid w:val="00CF33C3"/>
    <w:rsid w:val="00CF3594"/>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CDF"/>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CAC"/>
    <w:rsid w:val="00D02DF6"/>
    <w:rsid w:val="00D030AA"/>
    <w:rsid w:val="00D031B2"/>
    <w:rsid w:val="00D0355D"/>
    <w:rsid w:val="00D0376D"/>
    <w:rsid w:val="00D0390B"/>
    <w:rsid w:val="00D039FD"/>
    <w:rsid w:val="00D03A63"/>
    <w:rsid w:val="00D03D28"/>
    <w:rsid w:val="00D040F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8FD"/>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30E2"/>
    <w:rsid w:val="00D235E8"/>
    <w:rsid w:val="00D23969"/>
    <w:rsid w:val="00D239C5"/>
    <w:rsid w:val="00D23BC4"/>
    <w:rsid w:val="00D2419D"/>
    <w:rsid w:val="00D241AE"/>
    <w:rsid w:val="00D24269"/>
    <w:rsid w:val="00D24464"/>
    <w:rsid w:val="00D246E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960"/>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0F55"/>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9E"/>
    <w:rsid w:val="00D454DB"/>
    <w:rsid w:val="00D455E5"/>
    <w:rsid w:val="00D457F6"/>
    <w:rsid w:val="00D45DC2"/>
    <w:rsid w:val="00D46391"/>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1ED7"/>
    <w:rsid w:val="00D6254A"/>
    <w:rsid w:val="00D627A0"/>
    <w:rsid w:val="00D62979"/>
    <w:rsid w:val="00D62F1E"/>
    <w:rsid w:val="00D63073"/>
    <w:rsid w:val="00D63277"/>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CE5"/>
    <w:rsid w:val="00D75FFF"/>
    <w:rsid w:val="00D76133"/>
    <w:rsid w:val="00D765C0"/>
    <w:rsid w:val="00D7662F"/>
    <w:rsid w:val="00D766CA"/>
    <w:rsid w:val="00D7680C"/>
    <w:rsid w:val="00D76B11"/>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1"/>
    <w:rsid w:val="00D938DC"/>
    <w:rsid w:val="00D93B05"/>
    <w:rsid w:val="00D93B7C"/>
    <w:rsid w:val="00D93F18"/>
    <w:rsid w:val="00D9400A"/>
    <w:rsid w:val="00D945E6"/>
    <w:rsid w:val="00D94AA2"/>
    <w:rsid w:val="00D95157"/>
    <w:rsid w:val="00D95487"/>
    <w:rsid w:val="00D95675"/>
    <w:rsid w:val="00D95C43"/>
    <w:rsid w:val="00D96119"/>
    <w:rsid w:val="00D962E4"/>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8B8"/>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0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FC"/>
    <w:rsid w:val="00DC296D"/>
    <w:rsid w:val="00DC2BD7"/>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8CC"/>
    <w:rsid w:val="00DD4C56"/>
    <w:rsid w:val="00DD4CF4"/>
    <w:rsid w:val="00DD5488"/>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D31"/>
    <w:rsid w:val="00DE2E58"/>
    <w:rsid w:val="00DE2E65"/>
    <w:rsid w:val="00DE2E6E"/>
    <w:rsid w:val="00DE3404"/>
    <w:rsid w:val="00DE352F"/>
    <w:rsid w:val="00DE3694"/>
    <w:rsid w:val="00DE37FC"/>
    <w:rsid w:val="00DE39C3"/>
    <w:rsid w:val="00DE3A44"/>
    <w:rsid w:val="00DE3A8E"/>
    <w:rsid w:val="00DE3AEE"/>
    <w:rsid w:val="00DE3B99"/>
    <w:rsid w:val="00DE3C84"/>
    <w:rsid w:val="00DE3DD2"/>
    <w:rsid w:val="00DE3E96"/>
    <w:rsid w:val="00DE428D"/>
    <w:rsid w:val="00DE4390"/>
    <w:rsid w:val="00DE4799"/>
    <w:rsid w:val="00DE491A"/>
    <w:rsid w:val="00DE4B75"/>
    <w:rsid w:val="00DE4D43"/>
    <w:rsid w:val="00DE50F4"/>
    <w:rsid w:val="00DE514F"/>
    <w:rsid w:val="00DE52F6"/>
    <w:rsid w:val="00DE5603"/>
    <w:rsid w:val="00DE57E0"/>
    <w:rsid w:val="00DE5BC8"/>
    <w:rsid w:val="00DE5CEB"/>
    <w:rsid w:val="00DE5E62"/>
    <w:rsid w:val="00DE5ED6"/>
    <w:rsid w:val="00DE6194"/>
    <w:rsid w:val="00DE62F6"/>
    <w:rsid w:val="00DE6335"/>
    <w:rsid w:val="00DE64C8"/>
    <w:rsid w:val="00DE66F5"/>
    <w:rsid w:val="00DE6AF2"/>
    <w:rsid w:val="00DE70EE"/>
    <w:rsid w:val="00DE77E8"/>
    <w:rsid w:val="00DF0016"/>
    <w:rsid w:val="00DF0661"/>
    <w:rsid w:val="00DF0734"/>
    <w:rsid w:val="00DF0A41"/>
    <w:rsid w:val="00DF0BC8"/>
    <w:rsid w:val="00DF0CE0"/>
    <w:rsid w:val="00DF156E"/>
    <w:rsid w:val="00DF20E3"/>
    <w:rsid w:val="00DF212F"/>
    <w:rsid w:val="00DF2479"/>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160"/>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95"/>
    <w:rsid w:val="00E009D5"/>
    <w:rsid w:val="00E00FE0"/>
    <w:rsid w:val="00E0139C"/>
    <w:rsid w:val="00E0164E"/>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667"/>
    <w:rsid w:val="00E05DDE"/>
    <w:rsid w:val="00E06175"/>
    <w:rsid w:val="00E064DB"/>
    <w:rsid w:val="00E0652B"/>
    <w:rsid w:val="00E067A4"/>
    <w:rsid w:val="00E0696B"/>
    <w:rsid w:val="00E06FAE"/>
    <w:rsid w:val="00E06FFF"/>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1BFF"/>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665C"/>
    <w:rsid w:val="00E2766E"/>
    <w:rsid w:val="00E277E5"/>
    <w:rsid w:val="00E27820"/>
    <w:rsid w:val="00E3015F"/>
    <w:rsid w:val="00E302A8"/>
    <w:rsid w:val="00E30383"/>
    <w:rsid w:val="00E30C88"/>
    <w:rsid w:val="00E30CBE"/>
    <w:rsid w:val="00E30DD3"/>
    <w:rsid w:val="00E30E99"/>
    <w:rsid w:val="00E30F98"/>
    <w:rsid w:val="00E314C7"/>
    <w:rsid w:val="00E31656"/>
    <w:rsid w:val="00E31868"/>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0E8"/>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A4"/>
    <w:rsid w:val="00E447D9"/>
    <w:rsid w:val="00E4483F"/>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AD"/>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AC7"/>
    <w:rsid w:val="00E54E54"/>
    <w:rsid w:val="00E54E60"/>
    <w:rsid w:val="00E54E9E"/>
    <w:rsid w:val="00E5502E"/>
    <w:rsid w:val="00E55495"/>
    <w:rsid w:val="00E55B9B"/>
    <w:rsid w:val="00E55F31"/>
    <w:rsid w:val="00E560B5"/>
    <w:rsid w:val="00E560DF"/>
    <w:rsid w:val="00E5633B"/>
    <w:rsid w:val="00E56488"/>
    <w:rsid w:val="00E5718F"/>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B"/>
    <w:rsid w:val="00E73A59"/>
    <w:rsid w:val="00E73C0C"/>
    <w:rsid w:val="00E73CA7"/>
    <w:rsid w:val="00E73E6A"/>
    <w:rsid w:val="00E73EF7"/>
    <w:rsid w:val="00E74024"/>
    <w:rsid w:val="00E74041"/>
    <w:rsid w:val="00E7409C"/>
    <w:rsid w:val="00E740E5"/>
    <w:rsid w:val="00E7445F"/>
    <w:rsid w:val="00E74667"/>
    <w:rsid w:val="00E74697"/>
    <w:rsid w:val="00E74700"/>
    <w:rsid w:val="00E74721"/>
    <w:rsid w:val="00E74736"/>
    <w:rsid w:val="00E74908"/>
    <w:rsid w:val="00E74A04"/>
    <w:rsid w:val="00E755A5"/>
    <w:rsid w:val="00E7563D"/>
    <w:rsid w:val="00E75B2C"/>
    <w:rsid w:val="00E75D2E"/>
    <w:rsid w:val="00E75F51"/>
    <w:rsid w:val="00E765C3"/>
    <w:rsid w:val="00E76856"/>
    <w:rsid w:val="00E768A0"/>
    <w:rsid w:val="00E76C10"/>
    <w:rsid w:val="00E76F07"/>
    <w:rsid w:val="00E77495"/>
    <w:rsid w:val="00E7762A"/>
    <w:rsid w:val="00E77FBE"/>
    <w:rsid w:val="00E80015"/>
    <w:rsid w:val="00E8028A"/>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069"/>
    <w:rsid w:val="00E9121C"/>
    <w:rsid w:val="00E912D6"/>
    <w:rsid w:val="00E9133F"/>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777"/>
    <w:rsid w:val="00E96867"/>
    <w:rsid w:val="00E96D9A"/>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394"/>
    <w:rsid w:val="00EA656B"/>
    <w:rsid w:val="00EA6619"/>
    <w:rsid w:val="00EA6732"/>
    <w:rsid w:val="00EA6D2E"/>
    <w:rsid w:val="00EA6F67"/>
    <w:rsid w:val="00EA6FE7"/>
    <w:rsid w:val="00EA7276"/>
    <w:rsid w:val="00EA73EB"/>
    <w:rsid w:val="00EA76F5"/>
    <w:rsid w:val="00EA77B8"/>
    <w:rsid w:val="00EA7834"/>
    <w:rsid w:val="00EA7D28"/>
    <w:rsid w:val="00EA7E26"/>
    <w:rsid w:val="00EA7E98"/>
    <w:rsid w:val="00EB0896"/>
    <w:rsid w:val="00EB0E79"/>
    <w:rsid w:val="00EB175A"/>
    <w:rsid w:val="00EB18FC"/>
    <w:rsid w:val="00EB196C"/>
    <w:rsid w:val="00EB1A49"/>
    <w:rsid w:val="00EB1F55"/>
    <w:rsid w:val="00EB204E"/>
    <w:rsid w:val="00EB286D"/>
    <w:rsid w:val="00EB2AC0"/>
    <w:rsid w:val="00EB2CD4"/>
    <w:rsid w:val="00EB2D9E"/>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AB"/>
    <w:rsid w:val="00EC01DF"/>
    <w:rsid w:val="00EC01F2"/>
    <w:rsid w:val="00EC048C"/>
    <w:rsid w:val="00EC04BD"/>
    <w:rsid w:val="00EC04DD"/>
    <w:rsid w:val="00EC09D0"/>
    <w:rsid w:val="00EC1089"/>
    <w:rsid w:val="00EC137B"/>
    <w:rsid w:val="00EC16BC"/>
    <w:rsid w:val="00EC1AA0"/>
    <w:rsid w:val="00EC228D"/>
    <w:rsid w:val="00EC229C"/>
    <w:rsid w:val="00EC23DD"/>
    <w:rsid w:val="00EC2C78"/>
    <w:rsid w:val="00EC2D1B"/>
    <w:rsid w:val="00EC2D39"/>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A99"/>
    <w:rsid w:val="00ED1C7E"/>
    <w:rsid w:val="00ED1E87"/>
    <w:rsid w:val="00ED2156"/>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EC"/>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EBA"/>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5C2"/>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6BFE"/>
    <w:rsid w:val="00F06F7F"/>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B6C"/>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5C1"/>
    <w:rsid w:val="00F20936"/>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395"/>
    <w:rsid w:val="00F308D7"/>
    <w:rsid w:val="00F30A69"/>
    <w:rsid w:val="00F30B06"/>
    <w:rsid w:val="00F310C5"/>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A6D"/>
    <w:rsid w:val="00F50D7C"/>
    <w:rsid w:val="00F50DCF"/>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1DF"/>
    <w:rsid w:val="00F555AE"/>
    <w:rsid w:val="00F55CD0"/>
    <w:rsid w:val="00F55CEE"/>
    <w:rsid w:val="00F55D1A"/>
    <w:rsid w:val="00F55F1B"/>
    <w:rsid w:val="00F5605B"/>
    <w:rsid w:val="00F5637C"/>
    <w:rsid w:val="00F565F4"/>
    <w:rsid w:val="00F5698F"/>
    <w:rsid w:val="00F57445"/>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E65"/>
    <w:rsid w:val="00F66ECA"/>
    <w:rsid w:val="00F66FBD"/>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6C7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80E"/>
    <w:rsid w:val="00F85B7C"/>
    <w:rsid w:val="00F85CD7"/>
    <w:rsid w:val="00F8603F"/>
    <w:rsid w:val="00F86530"/>
    <w:rsid w:val="00F867ED"/>
    <w:rsid w:val="00F868FE"/>
    <w:rsid w:val="00F86A8A"/>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94"/>
    <w:rsid w:val="00F95EDD"/>
    <w:rsid w:val="00F960C2"/>
    <w:rsid w:val="00F9611A"/>
    <w:rsid w:val="00F963E9"/>
    <w:rsid w:val="00F9661F"/>
    <w:rsid w:val="00F96A95"/>
    <w:rsid w:val="00F96B61"/>
    <w:rsid w:val="00F96E5E"/>
    <w:rsid w:val="00F96F30"/>
    <w:rsid w:val="00F96FED"/>
    <w:rsid w:val="00F9735C"/>
    <w:rsid w:val="00F977B5"/>
    <w:rsid w:val="00F97AFF"/>
    <w:rsid w:val="00F97B04"/>
    <w:rsid w:val="00F97F26"/>
    <w:rsid w:val="00FA0133"/>
    <w:rsid w:val="00FA02C2"/>
    <w:rsid w:val="00FA0405"/>
    <w:rsid w:val="00FA1129"/>
    <w:rsid w:val="00FA168C"/>
    <w:rsid w:val="00FA1A9D"/>
    <w:rsid w:val="00FA1D4F"/>
    <w:rsid w:val="00FA2450"/>
    <w:rsid w:val="00FA270C"/>
    <w:rsid w:val="00FA2BAA"/>
    <w:rsid w:val="00FA2BC3"/>
    <w:rsid w:val="00FA2BD9"/>
    <w:rsid w:val="00FA2DFC"/>
    <w:rsid w:val="00FA2FDC"/>
    <w:rsid w:val="00FA30E3"/>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6026"/>
    <w:rsid w:val="00FA60A5"/>
    <w:rsid w:val="00FA6679"/>
    <w:rsid w:val="00FA6734"/>
    <w:rsid w:val="00FA6B0D"/>
    <w:rsid w:val="00FA6B6A"/>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5DF1"/>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E67"/>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4B9"/>
    <w:rsid w:val="00FD574C"/>
    <w:rsid w:val="00FD5A50"/>
    <w:rsid w:val="00FD5AFF"/>
    <w:rsid w:val="00FD5D43"/>
    <w:rsid w:val="00FD60A4"/>
    <w:rsid w:val="00FD616B"/>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44F"/>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4531A"/>
    <w:rsid w:val="01237DE4"/>
    <w:rsid w:val="012E3D59"/>
    <w:rsid w:val="012E78A0"/>
    <w:rsid w:val="013340AD"/>
    <w:rsid w:val="01384A19"/>
    <w:rsid w:val="013A5D59"/>
    <w:rsid w:val="013C501C"/>
    <w:rsid w:val="013D4FA6"/>
    <w:rsid w:val="015602B3"/>
    <w:rsid w:val="01592BEE"/>
    <w:rsid w:val="01657634"/>
    <w:rsid w:val="01697CD6"/>
    <w:rsid w:val="016B6DD7"/>
    <w:rsid w:val="01701670"/>
    <w:rsid w:val="0171562A"/>
    <w:rsid w:val="01742CDF"/>
    <w:rsid w:val="017729EB"/>
    <w:rsid w:val="01795231"/>
    <w:rsid w:val="017B5EC6"/>
    <w:rsid w:val="018A4DA5"/>
    <w:rsid w:val="019A1560"/>
    <w:rsid w:val="019B60BC"/>
    <w:rsid w:val="019D11D6"/>
    <w:rsid w:val="01A02104"/>
    <w:rsid w:val="01A761C0"/>
    <w:rsid w:val="01A96AA0"/>
    <w:rsid w:val="01B91B37"/>
    <w:rsid w:val="01C87EC5"/>
    <w:rsid w:val="01C96560"/>
    <w:rsid w:val="01C97249"/>
    <w:rsid w:val="01D775BA"/>
    <w:rsid w:val="01D91D17"/>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746FAE"/>
    <w:rsid w:val="027E61C3"/>
    <w:rsid w:val="02816D9C"/>
    <w:rsid w:val="02875AD4"/>
    <w:rsid w:val="028E5CAB"/>
    <w:rsid w:val="028F4EA5"/>
    <w:rsid w:val="02A36F66"/>
    <w:rsid w:val="02A91846"/>
    <w:rsid w:val="02AA0975"/>
    <w:rsid w:val="02B2472A"/>
    <w:rsid w:val="02B27162"/>
    <w:rsid w:val="02B96FAC"/>
    <w:rsid w:val="02BA5B1F"/>
    <w:rsid w:val="02BF55FF"/>
    <w:rsid w:val="02BF6AE2"/>
    <w:rsid w:val="02C11E3B"/>
    <w:rsid w:val="02C81E79"/>
    <w:rsid w:val="02D0642C"/>
    <w:rsid w:val="02D127EF"/>
    <w:rsid w:val="02D47EB6"/>
    <w:rsid w:val="02E14FCB"/>
    <w:rsid w:val="02E5740B"/>
    <w:rsid w:val="02EB1E5D"/>
    <w:rsid w:val="02EC1A08"/>
    <w:rsid w:val="02EF5A5A"/>
    <w:rsid w:val="02F16096"/>
    <w:rsid w:val="02FE7D30"/>
    <w:rsid w:val="0304634C"/>
    <w:rsid w:val="0307267F"/>
    <w:rsid w:val="030916A6"/>
    <w:rsid w:val="030D3E9D"/>
    <w:rsid w:val="030D51A2"/>
    <w:rsid w:val="031A545F"/>
    <w:rsid w:val="031F008D"/>
    <w:rsid w:val="032A509F"/>
    <w:rsid w:val="03334938"/>
    <w:rsid w:val="0333596C"/>
    <w:rsid w:val="033912FE"/>
    <w:rsid w:val="03394321"/>
    <w:rsid w:val="03406AD4"/>
    <w:rsid w:val="034938C7"/>
    <w:rsid w:val="034E4F0F"/>
    <w:rsid w:val="034F290D"/>
    <w:rsid w:val="03513AB2"/>
    <w:rsid w:val="035279F8"/>
    <w:rsid w:val="035A6727"/>
    <w:rsid w:val="0360437B"/>
    <w:rsid w:val="037C715A"/>
    <w:rsid w:val="03826E5C"/>
    <w:rsid w:val="03892991"/>
    <w:rsid w:val="038C02EB"/>
    <w:rsid w:val="038C6EF9"/>
    <w:rsid w:val="038E2E18"/>
    <w:rsid w:val="038F1DC9"/>
    <w:rsid w:val="039545AE"/>
    <w:rsid w:val="03995C8A"/>
    <w:rsid w:val="03A4198E"/>
    <w:rsid w:val="03AD0569"/>
    <w:rsid w:val="03BA4249"/>
    <w:rsid w:val="03C74561"/>
    <w:rsid w:val="03CE5373"/>
    <w:rsid w:val="03D11A1D"/>
    <w:rsid w:val="03D61EA0"/>
    <w:rsid w:val="03D974C6"/>
    <w:rsid w:val="03DC24B8"/>
    <w:rsid w:val="03E54BD6"/>
    <w:rsid w:val="03E82126"/>
    <w:rsid w:val="040562E0"/>
    <w:rsid w:val="040B23D6"/>
    <w:rsid w:val="041203F0"/>
    <w:rsid w:val="04132C1A"/>
    <w:rsid w:val="0417289A"/>
    <w:rsid w:val="04181433"/>
    <w:rsid w:val="04291C59"/>
    <w:rsid w:val="042A2F90"/>
    <w:rsid w:val="042A3EB0"/>
    <w:rsid w:val="04317277"/>
    <w:rsid w:val="04377E4A"/>
    <w:rsid w:val="044415A9"/>
    <w:rsid w:val="0445405A"/>
    <w:rsid w:val="044A1114"/>
    <w:rsid w:val="044C008C"/>
    <w:rsid w:val="04552E83"/>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B4FEC"/>
    <w:rsid w:val="04AD4B8B"/>
    <w:rsid w:val="04B70BE9"/>
    <w:rsid w:val="04BE27CE"/>
    <w:rsid w:val="04BE58D0"/>
    <w:rsid w:val="04BF64DB"/>
    <w:rsid w:val="04C8060F"/>
    <w:rsid w:val="04CB390F"/>
    <w:rsid w:val="04D00F77"/>
    <w:rsid w:val="04D27C15"/>
    <w:rsid w:val="04D459FA"/>
    <w:rsid w:val="04D65189"/>
    <w:rsid w:val="04DA2096"/>
    <w:rsid w:val="04DF660E"/>
    <w:rsid w:val="04E211D4"/>
    <w:rsid w:val="04EC7074"/>
    <w:rsid w:val="04F01589"/>
    <w:rsid w:val="04F6701A"/>
    <w:rsid w:val="04F8221A"/>
    <w:rsid w:val="04FC5709"/>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713D4A"/>
    <w:rsid w:val="05771353"/>
    <w:rsid w:val="057918B2"/>
    <w:rsid w:val="057E0FD7"/>
    <w:rsid w:val="058400FB"/>
    <w:rsid w:val="058D1883"/>
    <w:rsid w:val="058E331A"/>
    <w:rsid w:val="05941672"/>
    <w:rsid w:val="059B236F"/>
    <w:rsid w:val="059B32A7"/>
    <w:rsid w:val="059E3691"/>
    <w:rsid w:val="059F5D9C"/>
    <w:rsid w:val="05A558D5"/>
    <w:rsid w:val="05B35812"/>
    <w:rsid w:val="05BB4C6D"/>
    <w:rsid w:val="05BE5A15"/>
    <w:rsid w:val="05C12962"/>
    <w:rsid w:val="05C23CE5"/>
    <w:rsid w:val="05C30024"/>
    <w:rsid w:val="05C31A0E"/>
    <w:rsid w:val="05CC6A7E"/>
    <w:rsid w:val="05CF32AE"/>
    <w:rsid w:val="05CF3D91"/>
    <w:rsid w:val="05D75F40"/>
    <w:rsid w:val="05E31D83"/>
    <w:rsid w:val="05E6321E"/>
    <w:rsid w:val="05E80906"/>
    <w:rsid w:val="05F04C76"/>
    <w:rsid w:val="05F10131"/>
    <w:rsid w:val="05F23FCE"/>
    <w:rsid w:val="060A57DB"/>
    <w:rsid w:val="060B74B5"/>
    <w:rsid w:val="060C3CC2"/>
    <w:rsid w:val="06143280"/>
    <w:rsid w:val="06161D00"/>
    <w:rsid w:val="06193A58"/>
    <w:rsid w:val="061A75BB"/>
    <w:rsid w:val="061B43B8"/>
    <w:rsid w:val="06226AA3"/>
    <w:rsid w:val="062B7408"/>
    <w:rsid w:val="062C1EC6"/>
    <w:rsid w:val="062D57CC"/>
    <w:rsid w:val="06357C71"/>
    <w:rsid w:val="06373C35"/>
    <w:rsid w:val="063E7244"/>
    <w:rsid w:val="06423400"/>
    <w:rsid w:val="064D07B4"/>
    <w:rsid w:val="06556880"/>
    <w:rsid w:val="06594ACC"/>
    <w:rsid w:val="065E23F5"/>
    <w:rsid w:val="065E61A2"/>
    <w:rsid w:val="065F0CB5"/>
    <w:rsid w:val="067E49F6"/>
    <w:rsid w:val="06870355"/>
    <w:rsid w:val="068F2552"/>
    <w:rsid w:val="06920AD8"/>
    <w:rsid w:val="06973A22"/>
    <w:rsid w:val="069A134E"/>
    <w:rsid w:val="06A12BB8"/>
    <w:rsid w:val="06A52641"/>
    <w:rsid w:val="06A6721A"/>
    <w:rsid w:val="06AF2646"/>
    <w:rsid w:val="06B277C2"/>
    <w:rsid w:val="06B5559D"/>
    <w:rsid w:val="06C648B1"/>
    <w:rsid w:val="06CF35BD"/>
    <w:rsid w:val="06D42797"/>
    <w:rsid w:val="06D51C0F"/>
    <w:rsid w:val="06DA7F47"/>
    <w:rsid w:val="06E4414A"/>
    <w:rsid w:val="06E84D75"/>
    <w:rsid w:val="06EB2F6E"/>
    <w:rsid w:val="06F01D0C"/>
    <w:rsid w:val="06F0680F"/>
    <w:rsid w:val="06F435BD"/>
    <w:rsid w:val="06F55AAE"/>
    <w:rsid w:val="06F561CE"/>
    <w:rsid w:val="070906C4"/>
    <w:rsid w:val="07114B7A"/>
    <w:rsid w:val="07186D56"/>
    <w:rsid w:val="072033BE"/>
    <w:rsid w:val="0721733B"/>
    <w:rsid w:val="07251E9C"/>
    <w:rsid w:val="072B2FCC"/>
    <w:rsid w:val="0737326C"/>
    <w:rsid w:val="073778E7"/>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864F2"/>
    <w:rsid w:val="07C87270"/>
    <w:rsid w:val="07C92F3E"/>
    <w:rsid w:val="07CB03FB"/>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6764C"/>
    <w:rsid w:val="08085317"/>
    <w:rsid w:val="080F1B16"/>
    <w:rsid w:val="080F380C"/>
    <w:rsid w:val="08100036"/>
    <w:rsid w:val="0811235A"/>
    <w:rsid w:val="08154241"/>
    <w:rsid w:val="0817007D"/>
    <w:rsid w:val="08222CC0"/>
    <w:rsid w:val="08225938"/>
    <w:rsid w:val="082325E8"/>
    <w:rsid w:val="08284F7F"/>
    <w:rsid w:val="08344B4D"/>
    <w:rsid w:val="083B4289"/>
    <w:rsid w:val="083C682C"/>
    <w:rsid w:val="08416468"/>
    <w:rsid w:val="084518E0"/>
    <w:rsid w:val="08456538"/>
    <w:rsid w:val="084D265F"/>
    <w:rsid w:val="08594EDF"/>
    <w:rsid w:val="085B296F"/>
    <w:rsid w:val="08625F26"/>
    <w:rsid w:val="08655CD7"/>
    <w:rsid w:val="086B2DB5"/>
    <w:rsid w:val="086B5DA6"/>
    <w:rsid w:val="086C2511"/>
    <w:rsid w:val="08754A81"/>
    <w:rsid w:val="087B70D7"/>
    <w:rsid w:val="087B7B82"/>
    <w:rsid w:val="088376E1"/>
    <w:rsid w:val="089055A6"/>
    <w:rsid w:val="08980BAB"/>
    <w:rsid w:val="08A44F08"/>
    <w:rsid w:val="08A92676"/>
    <w:rsid w:val="08AA5BF5"/>
    <w:rsid w:val="08AB6847"/>
    <w:rsid w:val="08B14555"/>
    <w:rsid w:val="08C24EFE"/>
    <w:rsid w:val="08C8577F"/>
    <w:rsid w:val="08C97AC5"/>
    <w:rsid w:val="08D52288"/>
    <w:rsid w:val="08D924A9"/>
    <w:rsid w:val="08DA3FA8"/>
    <w:rsid w:val="08E86EA7"/>
    <w:rsid w:val="08E927DA"/>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A03095D"/>
    <w:rsid w:val="0A031353"/>
    <w:rsid w:val="0A090E68"/>
    <w:rsid w:val="0A0F1C7A"/>
    <w:rsid w:val="0A0F75F4"/>
    <w:rsid w:val="0A1462E4"/>
    <w:rsid w:val="0A1737AA"/>
    <w:rsid w:val="0A265C5E"/>
    <w:rsid w:val="0A3A062B"/>
    <w:rsid w:val="0A3C576A"/>
    <w:rsid w:val="0A3F2D2D"/>
    <w:rsid w:val="0A47596A"/>
    <w:rsid w:val="0A482A42"/>
    <w:rsid w:val="0A4F006D"/>
    <w:rsid w:val="0A545C1F"/>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176325"/>
    <w:rsid w:val="0B1A291A"/>
    <w:rsid w:val="0B254CAA"/>
    <w:rsid w:val="0B28501B"/>
    <w:rsid w:val="0B311E8B"/>
    <w:rsid w:val="0B316748"/>
    <w:rsid w:val="0B3440C0"/>
    <w:rsid w:val="0B361B74"/>
    <w:rsid w:val="0B3B65E0"/>
    <w:rsid w:val="0B3C005F"/>
    <w:rsid w:val="0B5527AB"/>
    <w:rsid w:val="0B594D3B"/>
    <w:rsid w:val="0B65171B"/>
    <w:rsid w:val="0B6B272A"/>
    <w:rsid w:val="0B6C1381"/>
    <w:rsid w:val="0B6D1F77"/>
    <w:rsid w:val="0B723D3E"/>
    <w:rsid w:val="0B7957E9"/>
    <w:rsid w:val="0B7A50DB"/>
    <w:rsid w:val="0B7E624E"/>
    <w:rsid w:val="0B831B71"/>
    <w:rsid w:val="0B8A6A06"/>
    <w:rsid w:val="0B8B3A3B"/>
    <w:rsid w:val="0BA10CEF"/>
    <w:rsid w:val="0BA158F6"/>
    <w:rsid w:val="0BA37183"/>
    <w:rsid w:val="0BA4716A"/>
    <w:rsid w:val="0BA82B04"/>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26C85"/>
    <w:rsid w:val="0C432D86"/>
    <w:rsid w:val="0C4E63B2"/>
    <w:rsid w:val="0C4F69BD"/>
    <w:rsid w:val="0C574E9F"/>
    <w:rsid w:val="0C5860FB"/>
    <w:rsid w:val="0C594881"/>
    <w:rsid w:val="0C596C01"/>
    <w:rsid w:val="0C5E4639"/>
    <w:rsid w:val="0C6F7D6D"/>
    <w:rsid w:val="0C7A2965"/>
    <w:rsid w:val="0C884ACA"/>
    <w:rsid w:val="0C8935B7"/>
    <w:rsid w:val="0C894864"/>
    <w:rsid w:val="0C895198"/>
    <w:rsid w:val="0C8D5C06"/>
    <w:rsid w:val="0C9A5993"/>
    <w:rsid w:val="0CA763A8"/>
    <w:rsid w:val="0CB64B38"/>
    <w:rsid w:val="0CBC520A"/>
    <w:rsid w:val="0CBF3DD1"/>
    <w:rsid w:val="0CD21CB7"/>
    <w:rsid w:val="0CD24D26"/>
    <w:rsid w:val="0CDB3A09"/>
    <w:rsid w:val="0CE532AB"/>
    <w:rsid w:val="0CFA0E47"/>
    <w:rsid w:val="0D0A3F56"/>
    <w:rsid w:val="0D0F458A"/>
    <w:rsid w:val="0D1969DD"/>
    <w:rsid w:val="0D1C4C53"/>
    <w:rsid w:val="0D1D4C1E"/>
    <w:rsid w:val="0D225593"/>
    <w:rsid w:val="0D2475E0"/>
    <w:rsid w:val="0D297DF3"/>
    <w:rsid w:val="0D327924"/>
    <w:rsid w:val="0D385411"/>
    <w:rsid w:val="0D5235A5"/>
    <w:rsid w:val="0D5D1B45"/>
    <w:rsid w:val="0D6151A4"/>
    <w:rsid w:val="0D6712AB"/>
    <w:rsid w:val="0D6924B4"/>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401365"/>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A73B4"/>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B2121"/>
    <w:rsid w:val="0EEC6E27"/>
    <w:rsid w:val="0EF35CBD"/>
    <w:rsid w:val="0EFD2CC2"/>
    <w:rsid w:val="0F0555EE"/>
    <w:rsid w:val="0F0A399D"/>
    <w:rsid w:val="0F0B1157"/>
    <w:rsid w:val="0F0E287E"/>
    <w:rsid w:val="0F122314"/>
    <w:rsid w:val="0F2566D6"/>
    <w:rsid w:val="0F334F38"/>
    <w:rsid w:val="0F374D10"/>
    <w:rsid w:val="0F390E3D"/>
    <w:rsid w:val="0F3B729A"/>
    <w:rsid w:val="0F477871"/>
    <w:rsid w:val="0F477973"/>
    <w:rsid w:val="0F4B3454"/>
    <w:rsid w:val="0F521E2E"/>
    <w:rsid w:val="0F5313BA"/>
    <w:rsid w:val="0F5801E9"/>
    <w:rsid w:val="0F5C4C71"/>
    <w:rsid w:val="0F5E7046"/>
    <w:rsid w:val="0F675A2D"/>
    <w:rsid w:val="0F8116C6"/>
    <w:rsid w:val="0F927670"/>
    <w:rsid w:val="0F977AA3"/>
    <w:rsid w:val="0F9D2A7E"/>
    <w:rsid w:val="0F9D727A"/>
    <w:rsid w:val="0FA54926"/>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53632"/>
    <w:rsid w:val="0FF61261"/>
    <w:rsid w:val="0FF7251B"/>
    <w:rsid w:val="0FF864B2"/>
    <w:rsid w:val="1002491E"/>
    <w:rsid w:val="100318D3"/>
    <w:rsid w:val="10074C2D"/>
    <w:rsid w:val="100D77C9"/>
    <w:rsid w:val="100F5ECF"/>
    <w:rsid w:val="10123E88"/>
    <w:rsid w:val="10171D38"/>
    <w:rsid w:val="10173B20"/>
    <w:rsid w:val="101B4B2B"/>
    <w:rsid w:val="101F001F"/>
    <w:rsid w:val="10214450"/>
    <w:rsid w:val="1046747A"/>
    <w:rsid w:val="104F503B"/>
    <w:rsid w:val="106104D8"/>
    <w:rsid w:val="10614B4D"/>
    <w:rsid w:val="106807AB"/>
    <w:rsid w:val="10697106"/>
    <w:rsid w:val="106D07A5"/>
    <w:rsid w:val="1079125F"/>
    <w:rsid w:val="10795FF0"/>
    <w:rsid w:val="107E7E13"/>
    <w:rsid w:val="108065DC"/>
    <w:rsid w:val="108D1F6F"/>
    <w:rsid w:val="108E6FAF"/>
    <w:rsid w:val="109B3B87"/>
    <w:rsid w:val="109E2162"/>
    <w:rsid w:val="10A63EFB"/>
    <w:rsid w:val="10AB4D0E"/>
    <w:rsid w:val="10B95621"/>
    <w:rsid w:val="10BE3224"/>
    <w:rsid w:val="10C35654"/>
    <w:rsid w:val="10C40B45"/>
    <w:rsid w:val="10C93451"/>
    <w:rsid w:val="10D5728F"/>
    <w:rsid w:val="10E6673F"/>
    <w:rsid w:val="10E80D8D"/>
    <w:rsid w:val="10ED79A2"/>
    <w:rsid w:val="10EE5DD1"/>
    <w:rsid w:val="10EF19E4"/>
    <w:rsid w:val="10EF5F16"/>
    <w:rsid w:val="10EF7355"/>
    <w:rsid w:val="10F046AC"/>
    <w:rsid w:val="11032AF5"/>
    <w:rsid w:val="11056310"/>
    <w:rsid w:val="11066827"/>
    <w:rsid w:val="1112714C"/>
    <w:rsid w:val="11130EB6"/>
    <w:rsid w:val="111632EB"/>
    <w:rsid w:val="11174D87"/>
    <w:rsid w:val="11181A69"/>
    <w:rsid w:val="111A6A63"/>
    <w:rsid w:val="1121026D"/>
    <w:rsid w:val="11254494"/>
    <w:rsid w:val="11262D96"/>
    <w:rsid w:val="11347954"/>
    <w:rsid w:val="113B4AF5"/>
    <w:rsid w:val="113D45ED"/>
    <w:rsid w:val="11463C69"/>
    <w:rsid w:val="114B2327"/>
    <w:rsid w:val="11537076"/>
    <w:rsid w:val="115759CE"/>
    <w:rsid w:val="115808BE"/>
    <w:rsid w:val="115E5C78"/>
    <w:rsid w:val="1161026A"/>
    <w:rsid w:val="11621410"/>
    <w:rsid w:val="11686319"/>
    <w:rsid w:val="116A3787"/>
    <w:rsid w:val="11720AC2"/>
    <w:rsid w:val="1172122A"/>
    <w:rsid w:val="117525C4"/>
    <w:rsid w:val="11767657"/>
    <w:rsid w:val="11781DFA"/>
    <w:rsid w:val="11807847"/>
    <w:rsid w:val="118457F6"/>
    <w:rsid w:val="118828CF"/>
    <w:rsid w:val="118B7CC4"/>
    <w:rsid w:val="118C46DA"/>
    <w:rsid w:val="11997C59"/>
    <w:rsid w:val="119C29A2"/>
    <w:rsid w:val="119E62B1"/>
    <w:rsid w:val="11A36C23"/>
    <w:rsid w:val="11AC79D2"/>
    <w:rsid w:val="11AF7D17"/>
    <w:rsid w:val="11B7574C"/>
    <w:rsid w:val="11BA75D3"/>
    <w:rsid w:val="11C16227"/>
    <w:rsid w:val="11C350F3"/>
    <w:rsid w:val="11C50404"/>
    <w:rsid w:val="11C5334A"/>
    <w:rsid w:val="11C8195E"/>
    <w:rsid w:val="11C856BE"/>
    <w:rsid w:val="11C93722"/>
    <w:rsid w:val="11CA0DD9"/>
    <w:rsid w:val="11CF5D72"/>
    <w:rsid w:val="11D617CC"/>
    <w:rsid w:val="11D76D15"/>
    <w:rsid w:val="11D8124F"/>
    <w:rsid w:val="11DE005C"/>
    <w:rsid w:val="11DE3EEA"/>
    <w:rsid w:val="11DF104E"/>
    <w:rsid w:val="11E302B8"/>
    <w:rsid w:val="11F15A65"/>
    <w:rsid w:val="11F9390A"/>
    <w:rsid w:val="1201290E"/>
    <w:rsid w:val="120472A4"/>
    <w:rsid w:val="12053DDA"/>
    <w:rsid w:val="12094E47"/>
    <w:rsid w:val="120A16E2"/>
    <w:rsid w:val="1212107A"/>
    <w:rsid w:val="121C0070"/>
    <w:rsid w:val="1221024E"/>
    <w:rsid w:val="12254B65"/>
    <w:rsid w:val="12263966"/>
    <w:rsid w:val="122D5A1D"/>
    <w:rsid w:val="122F0692"/>
    <w:rsid w:val="12313C11"/>
    <w:rsid w:val="12325D1D"/>
    <w:rsid w:val="1232730A"/>
    <w:rsid w:val="123867FA"/>
    <w:rsid w:val="123873C1"/>
    <w:rsid w:val="12414577"/>
    <w:rsid w:val="12455CAD"/>
    <w:rsid w:val="124708F9"/>
    <w:rsid w:val="12497908"/>
    <w:rsid w:val="124A1FFD"/>
    <w:rsid w:val="12540DA1"/>
    <w:rsid w:val="125B084E"/>
    <w:rsid w:val="12766947"/>
    <w:rsid w:val="127E6792"/>
    <w:rsid w:val="127F52A7"/>
    <w:rsid w:val="128301BF"/>
    <w:rsid w:val="128303BF"/>
    <w:rsid w:val="129C4B1E"/>
    <w:rsid w:val="12A13BDA"/>
    <w:rsid w:val="12A142E5"/>
    <w:rsid w:val="12A8272F"/>
    <w:rsid w:val="12AC6C59"/>
    <w:rsid w:val="12AE2A22"/>
    <w:rsid w:val="12B209E5"/>
    <w:rsid w:val="12B2705C"/>
    <w:rsid w:val="12B43E24"/>
    <w:rsid w:val="12C336A4"/>
    <w:rsid w:val="12C60939"/>
    <w:rsid w:val="12DA12F7"/>
    <w:rsid w:val="12E0156B"/>
    <w:rsid w:val="12F00E7B"/>
    <w:rsid w:val="12F85E8C"/>
    <w:rsid w:val="12F95EB4"/>
    <w:rsid w:val="13022B2F"/>
    <w:rsid w:val="13076BAF"/>
    <w:rsid w:val="130A6AD2"/>
    <w:rsid w:val="130F1DA9"/>
    <w:rsid w:val="130F44B6"/>
    <w:rsid w:val="13125764"/>
    <w:rsid w:val="131752BC"/>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C10A0"/>
    <w:rsid w:val="13441C6C"/>
    <w:rsid w:val="1348767C"/>
    <w:rsid w:val="1351555F"/>
    <w:rsid w:val="135B7D59"/>
    <w:rsid w:val="135C41A2"/>
    <w:rsid w:val="135D0726"/>
    <w:rsid w:val="13667089"/>
    <w:rsid w:val="137F2E1F"/>
    <w:rsid w:val="13834E54"/>
    <w:rsid w:val="138C3BB4"/>
    <w:rsid w:val="138E21E8"/>
    <w:rsid w:val="13A46633"/>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6080A"/>
    <w:rsid w:val="14264E47"/>
    <w:rsid w:val="142E08A1"/>
    <w:rsid w:val="143533E9"/>
    <w:rsid w:val="14353A7B"/>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5629F"/>
    <w:rsid w:val="14B3042E"/>
    <w:rsid w:val="14C453B3"/>
    <w:rsid w:val="14CE5C48"/>
    <w:rsid w:val="14D141D7"/>
    <w:rsid w:val="14D5012B"/>
    <w:rsid w:val="14E47191"/>
    <w:rsid w:val="14E9786D"/>
    <w:rsid w:val="14EC3E5C"/>
    <w:rsid w:val="14ED0A8C"/>
    <w:rsid w:val="14FA4CD9"/>
    <w:rsid w:val="14FB5F43"/>
    <w:rsid w:val="15100FA6"/>
    <w:rsid w:val="1513479B"/>
    <w:rsid w:val="151A1661"/>
    <w:rsid w:val="15262908"/>
    <w:rsid w:val="1529226A"/>
    <w:rsid w:val="15387A07"/>
    <w:rsid w:val="1539647F"/>
    <w:rsid w:val="153D0A90"/>
    <w:rsid w:val="153D638E"/>
    <w:rsid w:val="154D3BE2"/>
    <w:rsid w:val="15512718"/>
    <w:rsid w:val="155D4772"/>
    <w:rsid w:val="156103E7"/>
    <w:rsid w:val="15635D03"/>
    <w:rsid w:val="157723EB"/>
    <w:rsid w:val="157876E1"/>
    <w:rsid w:val="15792A24"/>
    <w:rsid w:val="1587641C"/>
    <w:rsid w:val="158A42AA"/>
    <w:rsid w:val="159A2718"/>
    <w:rsid w:val="159A616F"/>
    <w:rsid w:val="15A16B2A"/>
    <w:rsid w:val="15A36994"/>
    <w:rsid w:val="15A63099"/>
    <w:rsid w:val="15A83FDF"/>
    <w:rsid w:val="15AC1F1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60856FA"/>
    <w:rsid w:val="161409A3"/>
    <w:rsid w:val="161971DA"/>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B1464"/>
    <w:rsid w:val="168E0B29"/>
    <w:rsid w:val="1698607C"/>
    <w:rsid w:val="16A6025D"/>
    <w:rsid w:val="16A9449F"/>
    <w:rsid w:val="16AC6719"/>
    <w:rsid w:val="16AD2E93"/>
    <w:rsid w:val="16AE155D"/>
    <w:rsid w:val="16B60E24"/>
    <w:rsid w:val="16B95052"/>
    <w:rsid w:val="16C0346B"/>
    <w:rsid w:val="16C44A98"/>
    <w:rsid w:val="16C91F5D"/>
    <w:rsid w:val="16CB3473"/>
    <w:rsid w:val="16CF015B"/>
    <w:rsid w:val="16D845B0"/>
    <w:rsid w:val="16EC2A58"/>
    <w:rsid w:val="16EF5D8C"/>
    <w:rsid w:val="16F06A95"/>
    <w:rsid w:val="16F74E68"/>
    <w:rsid w:val="16FE147F"/>
    <w:rsid w:val="17036CB3"/>
    <w:rsid w:val="17110027"/>
    <w:rsid w:val="171476E9"/>
    <w:rsid w:val="171B7E32"/>
    <w:rsid w:val="171E610A"/>
    <w:rsid w:val="17276415"/>
    <w:rsid w:val="172F2D58"/>
    <w:rsid w:val="17351DB9"/>
    <w:rsid w:val="17393127"/>
    <w:rsid w:val="17423214"/>
    <w:rsid w:val="174903F6"/>
    <w:rsid w:val="174E5530"/>
    <w:rsid w:val="17644012"/>
    <w:rsid w:val="176572C2"/>
    <w:rsid w:val="17697677"/>
    <w:rsid w:val="17706CD4"/>
    <w:rsid w:val="17732C4B"/>
    <w:rsid w:val="177B12E6"/>
    <w:rsid w:val="17813432"/>
    <w:rsid w:val="17835639"/>
    <w:rsid w:val="178A3414"/>
    <w:rsid w:val="178D1B35"/>
    <w:rsid w:val="178F5437"/>
    <w:rsid w:val="17945C8C"/>
    <w:rsid w:val="179F07DF"/>
    <w:rsid w:val="17AE6614"/>
    <w:rsid w:val="17B20D61"/>
    <w:rsid w:val="17BD1567"/>
    <w:rsid w:val="17BE4E82"/>
    <w:rsid w:val="17C13630"/>
    <w:rsid w:val="17C142EC"/>
    <w:rsid w:val="17C1545E"/>
    <w:rsid w:val="17C94953"/>
    <w:rsid w:val="17CF161A"/>
    <w:rsid w:val="17DE3E41"/>
    <w:rsid w:val="17DF6C02"/>
    <w:rsid w:val="17E12765"/>
    <w:rsid w:val="17F118FB"/>
    <w:rsid w:val="17FC337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540741"/>
    <w:rsid w:val="18587C4F"/>
    <w:rsid w:val="18593E4A"/>
    <w:rsid w:val="185C086E"/>
    <w:rsid w:val="186051A6"/>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D53ED"/>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87E5A"/>
    <w:rsid w:val="190B5982"/>
    <w:rsid w:val="190E24A2"/>
    <w:rsid w:val="190F246E"/>
    <w:rsid w:val="1910107B"/>
    <w:rsid w:val="1919445B"/>
    <w:rsid w:val="1929257A"/>
    <w:rsid w:val="19296C8F"/>
    <w:rsid w:val="192B582F"/>
    <w:rsid w:val="192F7BEE"/>
    <w:rsid w:val="193C5189"/>
    <w:rsid w:val="1948038A"/>
    <w:rsid w:val="194A66F4"/>
    <w:rsid w:val="194C08BA"/>
    <w:rsid w:val="19507206"/>
    <w:rsid w:val="19546D47"/>
    <w:rsid w:val="19594AC8"/>
    <w:rsid w:val="19642537"/>
    <w:rsid w:val="19767890"/>
    <w:rsid w:val="197E4EC9"/>
    <w:rsid w:val="198A317C"/>
    <w:rsid w:val="198A5B9B"/>
    <w:rsid w:val="198E504F"/>
    <w:rsid w:val="198E7CC2"/>
    <w:rsid w:val="19935571"/>
    <w:rsid w:val="199628D2"/>
    <w:rsid w:val="1997041E"/>
    <w:rsid w:val="19977F1D"/>
    <w:rsid w:val="19A055FC"/>
    <w:rsid w:val="19A47FBE"/>
    <w:rsid w:val="19A9542D"/>
    <w:rsid w:val="19AF141B"/>
    <w:rsid w:val="19B45EC6"/>
    <w:rsid w:val="19BC434C"/>
    <w:rsid w:val="19C0635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3D2A"/>
    <w:rsid w:val="1A291CE9"/>
    <w:rsid w:val="1A2933F0"/>
    <w:rsid w:val="1A295ED4"/>
    <w:rsid w:val="1A2979B4"/>
    <w:rsid w:val="1A2B340C"/>
    <w:rsid w:val="1A326A5E"/>
    <w:rsid w:val="1A35314D"/>
    <w:rsid w:val="1A4351F7"/>
    <w:rsid w:val="1A4D3567"/>
    <w:rsid w:val="1A574E8B"/>
    <w:rsid w:val="1A5A027E"/>
    <w:rsid w:val="1A5B332D"/>
    <w:rsid w:val="1A5D418F"/>
    <w:rsid w:val="1A68714A"/>
    <w:rsid w:val="1A767810"/>
    <w:rsid w:val="1A795091"/>
    <w:rsid w:val="1A7A1B33"/>
    <w:rsid w:val="1A7C1335"/>
    <w:rsid w:val="1A84713F"/>
    <w:rsid w:val="1A864E70"/>
    <w:rsid w:val="1A8820D0"/>
    <w:rsid w:val="1A886852"/>
    <w:rsid w:val="1A891BA3"/>
    <w:rsid w:val="1A8F4F1E"/>
    <w:rsid w:val="1A901FBE"/>
    <w:rsid w:val="1A904E3C"/>
    <w:rsid w:val="1A907D69"/>
    <w:rsid w:val="1A981D7B"/>
    <w:rsid w:val="1A991640"/>
    <w:rsid w:val="1AA14EDD"/>
    <w:rsid w:val="1AA33EAF"/>
    <w:rsid w:val="1AA964C5"/>
    <w:rsid w:val="1AAC5EBD"/>
    <w:rsid w:val="1AB8464E"/>
    <w:rsid w:val="1AB86D73"/>
    <w:rsid w:val="1ABE6357"/>
    <w:rsid w:val="1AC05FAA"/>
    <w:rsid w:val="1AC51203"/>
    <w:rsid w:val="1AC94503"/>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44BF"/>
    <w:rsid w:val="1B3F232C"/>
    <w:rsid w:val="1B435219"/>
    <w:rsid w:val="1B55429F"/>
    <w:rsid w:val="1B5C4B10"/>
    <w:rsid w:val="1B6B6632"/>
    <w:rsid w:val="1B7D6CAD"/>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85300"/>
    <w:rsid w:val="1BD93FE1"/>
    <w:rsid w:val="1BE05A00"/>
    <w:rsid w:val="1BE60A89"/>
    <w:rsid w:val="1BED5DF9"/>
    <w:rsid w:val="1BF6094C"/>
    <w:rsid w:val="1BFC4EEB"/>
    <w:rsid w:val="1C086588"/>
    <w:rsid w:val="1C097162"/>
    <w:rsid w:val="1C0A656E"/>
    <w:rsid w:val="1C114C4D"/>
    <w:rsid w:val="1C16147F"/>
    <w:rsid w:val="1C176961"/>
    <w:rsid w:val="1C1C6556"/>
    <w:rsid w:val="1C23366C"/>
    <w:rsid w:val="1C2D02F8"/>
    <w:rsid w:val="1C3019B6"/>
    <w:rsid w:val="1C327EC7"/>
    <w:rsid w:val="1C3F5739"/>
    <w:rsid w:val="1C4404B4"/>
    <w:rsid w:val="1C4863EB"/>
    <w:rsid w:val="1C4A151A"/>
    <w:rsid w:val="1C4A4C0A"/>
    <w:rsid w:val="1C51797A"/>
    <w:rsid w:val="1C55783B"/>
    <w:rsid w:val="1C597B10"/>
    <w:rsid w:val="1C606999"/>
    <w:rsid w:val="1C65681C"/>
    <w:rsid w:val="1C6611FF"/>
    <w:rsid w:val="1C6E29AB"/>
    <w:rsid w:val="1C6E5EB5"/>
    <w:rsid w:val="1C7026A5"/>
    <w:rsid w:val="1C787478"/>
    <w:rsid w:val="1C7A4B33"/>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52DC"/>
    <w:rsid w:val="1D6C751F"/>
    <w:rsid w:val="1D70796F"/>
    <w:rsid w:val="1D754741"/>
    <w:rsid w:val="1D7917EF"/>
    <w:rsid w:val="1D7D4C76"/>
    <w:rsid w:val="1D855F2F"/>
    <w:rsid w:val="1D9259FC"/>
    <w:rsid w:val="1D926190"/>
    <w:rsid w:val="1D932CF5"/>
    <w:rsid w:val="1D9460DE"/>
    <w:rsid w:val="1DA414EA"/>
    <w:rsid w:val="1DA702A0"/>
    <w:rsid w:val="1DA84041"/>
    <w:rsid w:val="1DA93265"/>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252837"/>
    <w:rsid w:val="1E291941"/>
    <w:rsid w:val="1E2B5964"/>
    <w:rsid w:val="1E2E2CE1"/>
    <w:rsid w:val="1E300851"/>
    <w:rsid w:val="1E301FEE"/>
    <w:rsid w:val="1E343DC7"/>
    <w:rsid w:val="1E3C5518"/>
    <w:rsid w:val="1E3E45C2"/>
    <w:rsid w:val="1E3E62A6"/>
    <w:rsid w:val="1E4059E9"/>
    <w:rsid w:val="1E4421BA"/>
    <w:rsid w:val="1E49220A"/>
    <w:rsid w:val="1E4D6A6C"/>
    <w:rsid w:val="1E52513C"/>
    <w:rsid w:val="1E5554D9"/>
    <w:rsid w:val="1E595EF3"/>
    <w:rsid w:val="1E6900A7"/>
    <w:rsid w:val="1E6E1DF0"/>
    <w:rsid w:val="1E725D58"/>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A66FA"/>
    <w:rsid w:val="1EBC68DA"/>
    <w:rsid w:val="1EBF4CD5"/>
    <w:rsid w:val="1EC063B9"/>
    <w:rsid w:val="1ECE1B03"/>
    <w:rsid w:val="1ECE723E"/>
    <w:rsid w:val="1ED55822"/>
    <w:rsid w:val="1EE82B1F"/>
    <w:rsid w:val="1EE83BBB"/>
    <w:rsid w:val="1EEA0B27"/>
    <w:rsid w:val="1EEC1AE0"/>
    <w:rsid w:val="1EEC3E9A"/>
    <w:rsid w:val="1EF47C22"/>
    <w:rsid w:val="1EFB41E9"/>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64C52"/>
    <w:rsid w:val="1F792C3A"/>
    <w:rsid w:val="1F7C64ED"/>
    <w:rsid w:val="1F802382"/>
    <w:rsid w:val="1F9A7DD3"/>
    <w:rsid w:val="1FA35CF7"/>
    <w:rsid w:val="1FAA54F7"/>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7A7253"/>
    <w:rsid w:val="207D2005"/>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D50E20"/>
    <w:rsid w:val="20D717F1"/>
    <w:rsid w:val="20DB4340"/>
    <w:rsid w:val="20EF51C8"/>
    <w:rsid w:val="20F05924"/>
    <w:rsid w:val="20F13F32"/>
    <w:rsid w:val="20F453F7"/>
    <w:rsid w:val="20F54434"/>
    <w:rsid w:val="20F627FE"/>
    <w:rsid w:val="20F81429"/>
    <w:rsid w:val="20FD6D18"/>
    <w:rsid w:val="20FE48A8"/>
    <w:rsid w:val="20FE4BBD"/>
    <w:rsid w:val="2103608A"/>
    <w:rsid w:val="210F68A1"/>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417B"/>
    <w:rsid w:val="214D15D4"/>
    <w:rsid w:val="21553ADF"/>
    <w:rsid w:val="21580349"/>
    <w:rsid w:val="215F24F2"/>
    <w:rsid w:val="21633F9B"/>
    <w:rsid w:val="21641AC3"/>
    <w:rsid w:val="216C6B87"/>
    <w:rsid w:val="2175003E"/>
    <w:rsid w:val="217A71B3"/>
    <w:rsid w:val="218414ED"/>
    <w:rsid w:val="218F158A"/>
    <w:rsid w:val="21927FFF"/>
    <w:rsid w:val="219354AA"/>
    <w:rsid w:val="2196164B"/>
    <w:rsid w:val="2196788C"/>
    <w:rsid w:val="21B34081"/>
    <w:rsid w:val="21B76CF4"/>
    <w:rsid w:val="21BC401D"/>
    <w:rsid w:val="21BE61E3"/>
    <w:rsid w:val="21BF1C5A"/>
    <w:rsid w:val="21BF4B02"/>
    <w:rsid w:val="21C618F4"/>
    <w:rsid w:val="21CC7D65"/>
    <w:rsid w:val="21D33066"/>
    <w:rsid w:val="21DC04F8"/>
    <w:rsid w:val="21DC4656"/>
    <w:rsid w:val="21E5678C"/>
    <w:rsid w:val="21E8009D"/>
    <w:rsid w:val="21EC66F9"/>
    <w:rsid w:val="21F27385"/>
    <w:rsid w:val="21F477AF"/>
    <w:rsid w:val="21F80754"/>
    <w:rsid w:val="22122053"/>
    <w:rsid w:val="221500FE"/>
    <w:rsid w:val="22160E61"/>
    <w:rsid w:val="22170083"/>
    <w:rsid w:val="221E4044"/>
    <w:rsid w:val="222E4B36"/>
    <w:rsid w:val="222F05E6"/>
    <w:rsid w:val="22317A3E"/>
    <w:rsid w:val="22330CD8"/>
    <w:rsid w:val="22335E59"/>
    <w:rsid w:val="22447536"/>
    <w:rsid w:val="224744C4"/>
    <w:rsid w:val="224B0DB4"/>
    <w:rsid w:val="22550A45"/>
    <w:rsid w:val="22583396"/>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2688C"/>
    <w:rsid w:val="23BC401C"/>
    <w:rsid w:val="23C228CA"/>
    <w:rsid w:val="23C47EE0"/>
    <w:rsid w:val="23C97F42"/>
    <w:rsid w:val="23CB2FC5"/>
    <w:rsid w:val="23D07021"/>
    <w:rsid w:val="23DC78BC"/>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444FD4"/>
    <w:rsid w:val="24464871"/>
    <w:rsid w:val="244A34E7"/>
    <w:rsid w:val="245D17E8"/>
    <w:rsid w:val="245D35CF"/>
    <w:rsid w:val="24706349"/>
    <w:rsid w:val="24754CB4"/>
    <w:rsid w:val="24766F09"/>
    <w:rsid w:val="247A0B6D"/>
    <w:rsid w:val="247E026A"/>
    <w:rsid w:val="24821C44"/>
    <w:rsid w:val="24822A2F"/>
    <w:rsid w:val="248B587E"/>
    <w:rsid w:val="248D1D37"/>
    <w:rsid w:val="24965CCD"/>
    <w:rsid w:val="249D6F0E"/>
    <w:rsid w:val="24A03D43"/>
    <w:rsid w:val="24AB13AF"/>
    <w:rsid w:val="24AB6028"/>
    <w:rsid w:val="24B10DC1"/>
    <w:rsid w:val="24B22A0D"/>
    <w:rsid w:val="24B331B5"/>
    <w:rsid w:val="24B356C5"/>
    <w:rsid w:val="24BE00A1"/>
    <w:rsid w:val="24D264D0"/>
    <w:rsid w:val="24D8775D"/>
    <w:rsid w:val="24E5269B"/>
    <w:rsid w:val="24E668F1"/>
    <w:rsid w:val="24E728F0"/>
    <w:rsid w:val="24EE263C"/>
    <w:rsid w:val="24EF13F1"/>
    <w:rsid w:val="24F36985"/>
    <w:rsid w:val="24F978B1"/>
    <w:rsid w:val="24FE3045"/>
    <w:rsid w:val="250D00F8"/>
    <w:rsid w:val="250F009E"/>
    <w:rsid w:val="25213072"/>
    <w:rsid w:val="25261539"/>
    <w:rsid w:val="25285778"/>
    <w:rsid w:val="252B3115"/>
    <w:rsid w:val="253009E7"/>
    <w:rsid w:val="25314B2C"/>
    <w:rsid w:val="253709F7"/>
    <w:rsid w:val="253A7368"/>
    <w:rsid w:val="253D2262"/>
    <w:rsid w:val="25431853"/>
    <w:rsid w:val="254546F8"/>
    <w:rsid w:val="254876B3"/>
    <w:rsid w:val="255513D2"/>
    <w:rsid w:val="255A50C8"/>
    <w:rsid w:val="255B49B3"/>
    <w:rsid w:val="255C1932"/>
    <w:rsid w:val="255E294F"/>
    <w:rsid w:val="25692DFE"/>
    <w:rsid w:val="256C3D8F"/>
    <w:rsid w:val="256D6BF2"/>
    <w:rsid w:val="2570188E"/>
    <w:rsid w:val="257803EE"/>
    <w:rsid w:val="257D18E3"/>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338EC"/>
    <w:rsid w:val="25C613D4"/>
    <w:rsid w:val="25C722A0"/>
    <w:rsid w:val="25CA4650"/>
    <w:rsid w:val="25CD5887"/>
    <w:rsid w:val="25D2700D"/>
    <w:rsid w:val="25D37D50"/>
    <w:rsid w:val="25D80360"/>
    <w:rsid w:val="25DE7808"/>
    <w:rsid w:val="25E10B12"/>
    <w:rsid w:val="25E6527D"/>
    <w:rsid w:val="26040C06"/>
    <w:rsid w:val="26193B65"/>
    <w:rsid w:val="26197FFF"/>
    <w:rsid w:val="261B562B"/>
    <w:rsid w:val="261B5B78"/>
    <w:rsid w:val="261B6EC1"/>
    <w:rsid w:val="26243082"/>
    <w:rsid w:val="262D5251"/>
    <w:rsid w:val="2633043C"/>
    <w:rsid w:val="2636650A"/>
    <w:rsid w:val="263A64BD"/>
    <w:rsid w:val="263E452D"/>
    <w:rsid w:val="264B1ACA"/>
    <w:rsid w:val="265523BC"/>
    <w:rsid w:val="26564BED"/>
    <w:rsid w:val="265C585D"/>
    <w:rsid w:val="265F34AE"/>
    <w:rsid w:val="26614B09"/>
    <w:rsid w:val="26623D0F"/>
    <w:rsid w:val="2663123F"/>
    <w:rsid w:val="266339E8"/>
    <w:rsid w:val="26725883"/>
    <w:rsid w:val="26737526"/>
    <w:rsid w:val="267B6EC2"/>
    <w:rsid w:val="26807462"/>
    <w:rsid w:val="26872E00"/>
    <w:rsid w:val="268A2240"/>
    <w:rsid w:val="26916DB8"/>
    <w:rsid w:val="269837EF"/>
    <w:rsid w:val="26A84125"/>
    <w:rsid w:val="26AF7EB1"/>
    <w:rsid w:val="26B82CF0"/>
    <w:rsid w:val="26B8558F"/>
    <w:rsid w:val="26C03942"/>
    <w:rsid w:val="26CF27C0"/>
    <w:rsid w:val="26D07CC0"/>
    <w:rsid w:val="26F0116E"/>
    <w:rsid w:val="26F62BE0"/>
    <w:rsid w:val="27007DB1"/>
    <w:rsid w:val="27023FD8"/>
    <w:rsid w:val="270268FC"/>
    <w:rsid w:val="270A4A11"/>
    <w:rsid w:val="27115F5E"/>
    <w:rsid w:val="27131A32"/>
    <w:rsid w:val="271438F4"/>
    <w:rsid w:val="27181BBE"/>
    <w:rsid w:val="272201E2"/>
    <w:rsid w:val="27261FD2"/>
    <w:rsid w:val="272E2378"/>
    <w:rsid w:val="27321F5C"/>
    <w:rsid w:val="273C76EB"/>
    <w:rsid w:val="273E15AB"/>
    <w:rsid w:val="274159F7"/>
    <w:rsid w:val="27492EA8"/>
    <w:rsid w:val="274B09CE"/>
    <w:rsid w:val="275269EE"/>
    <w:rsid w:val="276010D4"/>
    <w:rsid w:val="27614F78"/>
    <w:rsid w:val="27653B8D"/>
    <w:rsid w:val="276B0663"/>
    <w:rsid w:val="276C47FF"/>
    <w:rsid w:val="277973C8"/>
    <w:rsid w:val="27880564"/>
    <w:rsid w:val="278C4BFF"/>
    <w:rsid w:val="278E5245"/>
    <w:rsid w:val="279025EE"/>
    <w:rsid w:val="27924A6D"/>
    <w:rsid w:val="27992850"/>
    <w:rsid w:val="27AA4362"/>
    <w:rsid w:val="27AF12EF"/>
    <w:rsid w:val="27B47525"/>
    <w:rsid w:val="27BF67BA"/>
    <w:rsid w:val="27C04AAA"/>
    <w:rsid w:val="27C60A21"/>
    <w:rsid w:val="27D021D8"/>
    <w:rsid w:val="27D54E77"/>
    <w:rsid w:val="27D65DE5"/>
    <w:rsid w:val="27D7429E"/>
    <w:rsid w:val="27DC7DE0"/>
    <w:rsid w:val="27DE1BFF"/>
    <w:rsid w:val="27E12983"/>
    <w:rsid w:val="27E44357"/>
    <w:rsid w:val="27E86387"/>
    <w:rsid w:val="27EA32D3"/>
    <w:rsid w:val="27EF19A7"/>
    <w:rsid w:val="27F22F77"/>
    <w:rsid w:val="27F75AC8"/>
    <w:rsid w:val="27F9211D"/>
    <w:rsid w:val="27FC6201"/>
    <w:rsid w:val="280043D0"/>
    <w:rsid w:val="280331CC"/>
    <w:rsid w:val="280E125B"/>
    <w:rsid w:val="280F0B82"/>
    <w:rsid w:val="2821463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90301B6"/>
    <w:rsid w:val="29046B1A"/>
    <w:rsid w:val="29070F98"/>
    <w:rsid w:val="290E7E3D"/>
    <w:rsid w:val="290F5FD5"/>
    <w:rsid w:val="2911001D"/>
    <w:rsid w:val="291671BE"/>
    <w:rsid w:val="291E162B"/>
    <w:rsid w:val="291F06CA"/>
    <w:rsid w:val="292E488D"/>
    <w:rsid w:val="2932177F"/>
    <w:rsid w:val="29332D86"/>
    <w:rsid w:val="293B6623"/>
    <w:rsid w:val="293C4A53"/>
    <w:rsid w:val="29427904"/>
    <w:rsid w:val="294438A1"/>
    <w:rsid w:val="29473510"/>
    <w:rsid w:val="29473AA4"/>
    <w:rsid w:val="294C3727"/>
    <w:rsid w:val="295072ED"/>
    <w:rsid w:val="29516A9C"/>
    <w:rsid w:val="295439EA"/>
    <w:rsid w:val="295C041A"/>
    <w:rsid w:val="2961437A"/>
    <w:rsid w:val="29672F7E"/>
    <w:rsid w:val="2972757D"/>
    <w:rsid w:val="2978500B"/>
    <w:rsid w:val="29793538"/>
    <w:rsid w:val="297A488F"/>
    <w:rsid w:val="297E42BA"/>
    <w:rsid w:val="298201B8"/>
    <w:rsid w:val="299B07C3"/>
    <w:rsid w:val="299B6E36"/>
    <w:rsid w:val="29A57939"/>
    <w:rsid w:val="29A646F0"/>
    <w:rsid w:val="29AB1C0C"/>
    <w:rsid w:val="29AB7532"/>
    <w:rsid w:val="29AC64D3"/>
    <w:rsid w:val="29B508BB"/>
    <w:rsid w:val="29B772EE"/>
    <w:rsid w:val="29B92091"/>
    <w:rsid w:val="29BD4006"/>
    <w:rsid w:val="29CA48E3"/>
    <w:rsid w:val="29D905A6"/>
    <w:rsid w:val="29E705C4"/>
    <w:rsid w:val="29EB5B61"/>
    <w:rsid w:val="29EF69C0"/>
    <w:rsid w:val="29F50529"/>
    <w:rsid w:val="29F6357B"/>
    <w:rsid w:val="29F64D54"/>
    <w:rsid w:val="2A0011E1"/>
    <w:rsid w:val="2A0C03D1"/>
    <w:rsid w:val="2A0D3CE8"/>
    <w:rsid w:val="2A127934"/>
    <w:rsid w:val="2A173EF4"/>
    <w:rsid w:val="2A1C197E"/>
    <w:rsid w:val="2A22388A"/>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B429B"/>
    <w:rsid w:val="2AC64A5F"/>
    <w:rsid w:val="2AC9741F"/>
    <w:rsid w:val="2AD623FD"/>
    <w:rsid w:val="2ADA1FD1"/>
    <w:rsid w:val="2AE020A3"/>
    <w:rsid w:val="2AF012D3"/>
    <w:rsid w:val="2AFA2135"/>
    <w:rsid w:val="2AFA5225"/>
    <w:rsid w:val="2B08119A"/>
    <w:rsid w:val="2B085178"/>
    <w:rsid w:val="2B0B1C38"/>
    <w:rsid w:val="2B227650"/>
    <w:rsid w:val="2B2C22C2"/>
    <w:rsid w:val="2B2D65DC"/>
    <w:rsid w:val="2B302D1A"/>
    <w:rsid w:val="2B315CB1"/>
    <w:rsid w:val="2B321E0D"/>
    <w:rsid w:val="2B4564CE"/>
    <w:rsid w:val="2B730BFC"/>
    <w:rsid w:val="2B76644D"/>
    <w:rsid w:val="2B77462E"/>
    <w:rsid w:val="2B78636B"/>
    <w:rsid w:val="2B79314A"/>
    <w:rsid w:val="2B8C075F"/>
    <w:rsid w:val="2B98046F"/>
    <w:rsid w:val="2B990220"/>
    <w:rsid w:val="2B9F7005"/>
    <w:rsid w:val="2BA07465"/>
    <w:rsid w:val="2BA5313A"/>
    <w:rsid w:val="2BA56072"/>
    <w:rsid w:val="2BA62DB5"/>
    <w:rsid w:val="2BA90775"/>
    <w:rsid w:val="2BB259E6"/>
    <w:rsid w:val="2BC636A5"/>
    <w:rsid w:val="2BCA539C"/>
    <w:rsid w:val="2BD3485D"/>
    <w:rsid w:val="2BEA572B"/>
    <w:rsid w:val="2BEF1332"/>
    <w:rsid w:val="2BF37482"/>
    <w:rsid w:val="2BFC604E"/>
    <w:rsid w:val="2C014C9D"/>
    <w:rsid w:val="2C04740C"/>
    <w:rsid w:val="2C0504F8"/>
    <w:rsid w:val="2C0577B1"/>
    <w:rsid w:val="2C14690F"/>
    <w:rsid w:val="2C1E5A47"/>
    <w:rsid w:val="2C311769"/>
    <w:rsid w:val="2C315244"/>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526C1"/>
    <w:rsid w:val="2C961AF8"/>
    <w:rsid w:val="2C9756BF"/>
    <w:rsid w:val="2CA14EDD"/>
    <w:rsid w:val="2CA867F5"/>
    <w:rsid w:val="2CAD5B03"/>
    <w:rsid w:val="2CAE3B13"/>
    <w:rsid w:val="2CAF788B"/>
    <w:rsid w:val="2CC708B0"/>
    <w:rsid w:val="2CC712E9"/>
    <w:rsid w:val="2CD30CE3"/>
    <w:rsid w:val="2CD37602"/>
    <w:rsid w:val="2CDA3D5D"/>
    <w:rsid w:val="2CE06AAF"/>
    <w:rsid w:val="2CEE15E1"/>
    <w:rsid w:val="2CF06A3C"/>
    <w:rsid w:val="2CF26F5B"/>
    <w:rsid w:val="2CFF086A"/>
    <w:rsid w:val="2D064B26"/>
    <w:rsid w:val="2D086932"/>
    <w:rsid w:val="2D104632"/>
    <w:rsid w:val="2D3072FE"/>
    <w:rsid w:val="2D31028B"/>
    <w:rsid w:val="2D356F9E"/>
    <w:rsid w:val="2D416432"/>
    <w:rsid w:val="2D420181"/>
    <w:rsid w:val="2D4537ED"/>
    <w:rsid w:val="2D487A88"/>
    <w:rsid w:val="2D61022F"/>
    <w:rsid w:val="2D6C388D"/>
    <w:rsid w:val="2D716D64"/>
    <w:rsid w:val="2D74403E"/>
    <w:rsid w:val="2D786928"/>
    <w:rsid w:val="2D797FB2"/>
    <w:rsid w:val="2D7E339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F52FB9"/>
    <w:rsid w:val="2DF73F30"/>
    <w:rsid w:val="2DFA1D0C"/>
    <w:rsid w:val="2DFA2D20"/>
    <w:rsid w:val="2DFD6AB3"/>
    <w:rsid w:val="2E0642E5"/>
    <w:rsid w:val="2E0C7A4C"/>
    <w:rsid w:val="2E0E4621"/>
    <w:rsid w:val="2E1121FD"/>
    <w:rsid w:val="2E14569B"/>
    <w:rsid w:val="2E171B0E"/>
    <w:rsid w:val="2E205229"/>
    <w:rsid w:val="2E2D1D61"/>
    <w:rsid w:val="2E353422"/>
    <w:rsid w:val="2E380991"/>
    <w:rsid w:val="2E3C6173"/>
    <w:rsid w:val="2E4241BC"/>
    <w:rsid w:val="2E5024D8"/>
    <w:rsid w:val="2E55304D"/>
    <w:rsid w:val="2E602D70"/>
    <w:rsid w:val="2E643BF9"/>
    <w:rsid w:val="2E680509"/>
    <w:rsid w:val="2E89270D"/>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E7023"/>
    <w:rsid w:val="2EF83B5E"/>
    <w:rsid w:val="2EFB3FE6"/>
    <w:rsid w:val="2EFB595F"/>
    <w:rsid w:val="2EFE3AC4"/>
    <w:rsid w:val="2F0541A6"/>
    <w:rsid w:val="2F057C99"/>
    <w:rsid w:val="2F073645"/>
    <w:rsid w:val="2F0D6753"/>
    <w:rsid w:val="2F0F7940"/>
    <w:rsid w:val="2F1018F3"/>
    <w:rsid w:val="2F1405B3"/>
    <w:rsid w:val="2F154307"/>
    <w:rsid w:val="2F186C76"/>
    <w:rsid w:val="2F22051D"/>
    <w:rsid w:val="2F230191"/>
    <w:rsid w:val="2F285092"/>
    <w:rsid w:val="2F3D200F"/>
    <w:rsid w:val="2F402D6C"/>
    <w:rsid w:val="2F423C6B"/>
    <w:rsid w:val="2F4575D0"/>
    <w:rsid w:val="2F494BC9"/>
    <w:rsid w:val="2F4E31E9"/>
    <w:rsid w:val="2F4E4C44"/>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C70CB8"/>
    <w:rsid w:val="2FCA1C72"/>
    <w:rsid w:val="2FCB0E21"/>
    <w:rsid w:val="2FCC3374"/>
    <w:rsid w:val="2FCD238F"/>
    <w:rsid w:val="2FD73D5F"/>
    <w:rsid w:val="2FDF68B6"/>
    <w:rsid w:val="2FE424EB"/>
    <w:rsid w:val="2FE465CC"/>
    <w:rsid w:val="2FED56B0"/>
    <w:rsid w:val="2FF657DC"/>
    <w:rsid w:val="2FFA4EB6"/>
    <w:rsid w:val="300E5103"/>
    <w:rsid w:val="30132A83"/>
    <w:rsid w:val="30243ECE"/>
    <w:rsid w:val="302E2308"/>
    <w:rsid w:val="303A40DD"/>
    <w:rsid w:val="304173D0"/>
    <w:rsid w:val="30442620"/>
    <w:rsid w:val="304B6BB7"/>
    <w:rsid w:val="304C4503"/>
    <w:rsid w:val="30526AC1"/>
    <w:rsid w:val="30530FD9"/>
    <w:rsid w:val="3054190C"/>
    <w:rsid w:val="305568C5"/>
    <w:rsid w:val="305D124C"/>
    <w:rsid w:val="305D3CBC"/>
    <w:rsid w:val="306E1EF1"/>
    <w:rsid w:val="306E6922"/>
    <w:rsid w:val="30711D37"/>
    <w:rsid w:val="30781681"/>
    <w:rsid w:val="307E419C"/>
    <w:rsid w:val="308422C2"/>
    <w:rsid w:val="30905E77"/>
    <w:rsid w:val="30910176"/>
    <w:rsid w:val="309444DE"/>
    <w:rsid w:val="309C2E98"/>
    <w:rsid w:val="309D2147"/>
    <w:rsid w:val="30A32DA7"/>
    <w:rsid w:val="30A85C99"/>
    <w:rsid w:val="30AA4130"/>
    <w:rsid w:val="30AB47C5"/>
    <w:rsid w:val="30B13168"/>
    <w:rsid w:val="30B7355D"/>
    <w:rsid w:val="30C20F76"/>
    <w:rsid w:val="30C66D08"/>
    <w:rsid w:val="30D52607"/>
    <w:rsid w:val="30D914CE"/>
    <w:rsid w:val="30E31EEB"/>
    <w:rsid w:val="30E64CA0"/>
    <w:rsid w:val="30F653E9"/>
    <w:rsid w:val="31081AAA"/>
    <w:rsid w:val="3112474F"/>
    <w:rsid w:val="311C7FAB"/>
    <w:rsid w:val="311F0D23"/>
    <w:rsid w:val="31231685"/>
    <w:rsid w:val="3125095B"/>
    <w:rsid w:val="31371B54"/>
    <w:rsid w:val="31383F5C"/>
    <w:rsid w:val="31394B19"/>
    <w:rsid w:val="313C0C23"/>
    <w:rsid w:val="313F32EB"/>
    <w:rsid w:val="31406B5D"/>
    <w:rsid w:val="31420A94"/>
    <w:rsid w:val="314673FF"/>
    <w:rsid w:val="314D1699"/>
    <w:rsid w:val="31506A7C"/>
    <w:rsid w:val="31544FB1"/>
    <w:rsid w:val="31571977"/>
    <w:rsid w:val="31571C78"/>
    <w:rsid w:val="315C54FC"/>
    <w:rsid w:val="31647F94"/>
    <w:rsid w:val="317070F5"/>
    <w:rsid w:val="31723FFB"/>
    <w:rsid w:val="31750FCD"/>
    <w:rsid w:val="3179366A"/>
    <w:rsid w:val="317A104A"/>
    <w:rsid w:val="317F3FBE"/>
    <w:rsid w:val="31854832"/>
    <w:rsid w:val="31884274"/>
    <w:rsid w:val="318949FD"/>
    <w:rsid w:val="318B0F4D"/>
    <w:rsid w:val="318E5084"/>
    <w:rsid w:val="318E6312"/>
    <w:rsid w:val="319B2E7D"/>
    <w:rsid w:val="31AD726B"/>
    <w:rsid w:val="31AF5A33"/>
    <w:rsid w:val="31B17FEA"/>
    <w:rsid w:val="31B76813"/>
    <w:rsid w:val="31C0715C"/>
    <w:rsid w:val="31C14F32"/>
    <w:rsid w:val="31C62574"/>
    <w:rsid w:val="31CB3016"/>
    <w:rsid w:val="31D51C36"/>
    <w:rsid w:val="31D540D9"/>
    <w:rsid w:val="31E21D69"/>
    <w:rsid w:val="31E52C31"/>
    <w:rsid w:val="31E76A1E"/>
    <w:rsid w:val="31EE7E78"/>
    <w:rsid w:val="31F97DDD"/>
    <w:rsid w:val="32001F8B"/>
    <w:rsid w:val="32044B56"/>
    <w:rsid w:val="320B5911"/>
    <w:rsid w:val="3217684D"/>
    <w:rsid w:val="321C63D7"/>
    <w:rsid w:val="321F3F88"/>
    <w:rsid w:val="3221279F"/>
    <w:rsid w:val="32247BF9"/>
    <w:rsid w:val="32255778"/>
    <w:rsid w:val="32312593"/>
    <w:rsid w:val="323159FD"/>
    <w:rsid w:val="32345AB7"/>
    <w:rsid w:val="323716E7"/>
    <w:rsid w:val="324252A3"/>
    <w:rsid w:val="32484AB1"/>
    <w:rsid w:val="324A0310"/>
    <w:rsid w:val="324F7E77"/>
    <w:rsid w:val="32530870"/>
    <w:rsid w:val="325900F4"/>
    <w:rsid w:val="325A0237"/>
    <w:rsid w:val="325C155E"/>
    <w:rsid w:val="325E2BBD"/>
    <w:rsid w:val="32603716"/>
    <w:rsid w:val="32667CE0"/>
    <w:rsid w:val="326B5802"/>
    <w:rsid w:val="326C6CF3"/>
    <w:rsid w:val="3279408A"/>
    <w:rsid w:val="327E4D99"/>
    <w:rsid w:val="328D3719"/>
    <w:rsid w:val="32A67B6D"/>
    <w:rsid w:val="32A67BA6"/>
    <w:rsid w:val="32AF69B0"/>
    <w:rsid w:val="32B21E52"/>
    <w:rsid w:val="32B30DFB"/>
    <w:rsid w:val="32C018D2"/>
    <w:rsid w:val="32C81855"/>
    <w:rsid w:val="32CA675E"/>
    <w:rsid w:val="32DA762A"/>
    <w:rsid w:val="32DC5131"/>
    <w:rsid w:val="32E11FD3"/>
    <w:rsid w:val="32E43AE4"/>
    <w:rsid w:val="32E57CF6"/>
    <w:rsid w:val="32EF347D"/>
    <w:rsid w:val="32F1440B"/>
    <w:rsid w:val="32F33D8A"/>
    <w:rsid w:val="32F35977"/>
    <w:rsid w:val="32F71AD7"/>
    <w:rsid w:val="32FC4B7D"/>
    <w:rsid w:val="33091E8F"/>
    <w:rsid w:val="33120FD6"/>
    <w:rsid w:val="33196816"/>
    <w:rsid w:val="331B364A"/>
    <w:rsid w:val="33201A19"/>
    <w:rsid w:val="333702E1"/>
    <w:rsid w:val="33371942"/>
    <w:rsid w:val="333A1999"/>
    <w:rsid w:val="33403AD0"/>
    <w:rsid w:val="334324D3"/>
    <w:rsid w:val="334E1283"/>
    <w:rsid w:val="334E71AC"/>
    <w:rsid w:val="33516F0A"/>
    <w:rsid w:val="33557FE0"/>
    <w:rsid w:val="3359556A"/>
    <w:rsid w:val="335B1FC8"/>
    <w:rsid w:val="33601403"/>
    <w:rsid w:val="3369354A"/>
    <w:rsid w:val="336A45E2"/>
    <w:rsid w:val="3373347A"/>
    <w:rsid w:val="33742DCE"/>
    <w:rsid w:val="3380076E"/>
    <w:rsid w:val="33842139"/>
    <w:rsid w:val="33975AE0"/>
    <w:rsid w:val="339A4201"/>
    <w:rsid w:val="33AA3EDC"/>
    <w:rsid w:val="33B3256A"/>
    <w:rsid w:val="33B94573"/>
    <w:rsid w:val="33BC1F56"/>
    <w:rsid w:val="33C748AE"/>
    <w:rsid w:val="33C75909"/>
    <w:rsid w:val="33CE2B98"/>
    <w:rsid w:val="33DA7799"/>
    <w:rsid w:val="33DB47C4"/>
    <w:rsid w:val="33DF593B"/>
    <w:rsid w:val="33E64517"/>
    <w:rsid w:val="33E70260"/>
    <w:rsid w:val="33EB5F44"/>
    <w:rsid w:val="33EF3DF2"/>
    <w:rsid w:val="33F2456A"/>
    <w:rsid w:val="33FA572B"/>
    <w:rsid w:val="3403379A"/>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A1BB2"/>
    <w:rsid w:val="346E738B"/>
    <w:rsid w:val="34785CD4"/>
    <w:rsid w:val="347875C9"/>
    <w:rsid w:val="347B0E37"/>
    <w:rsid w:val="347D1349"/>
    <w:rsid w:val="347F046C"/>
    <w:rsid w:val="34834A93"/>
    <w:rsid w:val="34874A0D"/>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F2311"/>
    <w:rsid w:val="351F7E03"/>
    <w:rsid w:val="35206711"/>
    <w:rsid w:val="352612FC"/>
    <w:rsid w:val="352D1F24"/>
    <w:rsid w:val="352D7415"/>
    <w:rsid w:val="3531792A"/>
    <w:rsid w:val="35450042"/>
    <w:rsid w:val="354F0611"/>
    <w:rsid w:val="3552267E"/>
    <w:rsid w:val="35580193"/>
    <w:rsid w:val="355A5E02"/>
    <w:rsid w:val="356276AD"/>
    <w:rsid w:val="35675BE6"/>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73D07"/>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E5F79"/>
    <w:rsid w:val="361F0B5A"/>
    <w:rsid w:val="36255FE7"/>
    <w:rsid w:val="362F44EC"/>
    <w:rsid w:val="363139D2"/>
    <w:rsid w:val="36380784"/>
    <w:rsid w:val="363A6D22"/>
    <w:rsid w:val="365C692E"/>
    <w:rsid w:val="3664672E"/>
    <w:rsid w:val="36684B85"/>
    <w:rsid w:val="36694323"/>
    <w:rsid w:val="367A12DB"/>
    <w:rsid w:val="36871919"/>
    <w:rsid w:val="368D0336"/>
    <w:rsid w:val="36993AD8"/>
    <w:rsid w:val="369C1413"/>
    <w:rsid w:val="369E16D7"/>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287D74"/>
    <w:rsid w:val="372A6F83"/>
    <w:rsid w:val="372F0142"/>
    <w:rsid w:val="373329D5"/>
    <w:rsid w:val="373A5B89"/>
    <w:rsid w:val="373C0861"/>
    <w:rsid w:val="373C0D3C"/>
    <w:rsid w:val="3740200E"/>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B3239"/>
    <w:rsid w:val="37DB6C63"/>
    <w:rsid w:val="37DC1D8E"/>
    <w:rsid w:val="37DE1511"/>
    <w:rsid w:val="37E65A28"/>
    <w:rsid w:val="37EB49EA"/>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248E8"/>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F1FF5"/>
    <w:rsid w:val="39231158"/>
    <w:rsid w:val="392B6C66"/>
    <w:rsid w:val="39341084"/>
    <w:rsid w:val="393E07AB"/>
    <w:rsid w:val="393E293F"/>
    <w:rsid w:val="39506734"/>
    <w:rsid w:val="395A6D19"/>
    <w:rsid w:val="395D0E21"/>
    <w:rsid w:val="39623B52"/>
    <w:rsid w:val="397319FF"/>
    <w:rsid w:val="39731B12"/>
    <w:rsid w:val="39765E70"/>
    <w:rsid w:val="39774BBD"/>
    <w:rsid w:val="39847EB1"/>
    <w:rsid w:val="398704BB"/>
    <w:rsid w:val="39882427"/>
    <w:rsid w:val="39926717"/>
    <w:rsid w:val="399E1C0B"/>
    <w:rsid w:val="39A21811"/>
    <w:rsid w:val="39AD28D5"/>
    <w:rsid w:val="39B261DB"/>
    <w:rsid w:val="39B73027"/>
    <w:rsid w:val="39B857F7"/>
    <w:rsid w:val="39B90E5E"/>
    <w:rsid w:val="39BB3A94"/>
    <w:rsid w:val="39C1671E"/>
    <w:rsid w:val="39C7184A"/>
    <w:rsid w:val="39CB526D"/>
    <w:rsid w:val="39D546A7"/>
    <w:rsid w:val="39DA79CB"/>
    <w:rsid w:val="39E069D4"/>
    <w:rsid w:val="39E258C7"/>
    <w:rsid w:val="39F070CC"/>
    <w:rsid w:val="39F12591"/>
    <w:rsid w:val="39FA1CF1"/>
    <w:rsid w:val="3A001D3B"/>
    <w:rsid w:val="3A016BF0"/>
    <w:rsid w:val="3A0C1916"/>
    <w:rsid w:val="3A191E0E"/>
    <w:rsid w:val="3A1C597D"/>
    <w:rsid w:val="3A1C71BF"/>
    <w:rsid w:val="3A2C3BA6"/>
    <w:rsid w:val="3A3539DC"/>
    <w:rsid w:val="3A3D4D53"/>
    <w:rsid w:val="3A4C45A1"/>
    <w:rsid w:val="3A577ADC"/>
    <w:rsid w:val="3A5914F9"/>
    <w:rsid w:val="3A5F3F5A"/>
    <w:rsid w:val="3A6D66ED"/>
    <w:rsid w:val="3A7116FC"/>
    <w:rsid w:val="3A736A4A"/>
    <w:rsid w:val="3A76541F"/>
    <w:rsid w:val="3A7D75EF"/>
    <w:rsid w:val="3A881F93"/>
    <w:rsid w:val="3A8B176E"/>
    <w:rsid w:val="3A8D11CC"/>
    <w:rsid w:val="3A9A07D3"/>
    <w:rsid w:val="3A9C50AA"/>
    <w:rsid w:val="3AA312D0"/>
    <w:rsid w:val="3AB06715"/>
    <w:rsid w:val="3AC351F1"/>
    <w:rsid w:val="3AC91008"/>
    <w:rsid w:val="3ACB36E9"/>
    <w:rsid w:val="3ACB7871"/>
    <w:rsid w:val="3ACE6056"/>
    <w:rsid w:val="3AD028B4"/>
    <w:rsid w:val="3AD34546"/>
    <w:rsid w:val="3AD847A7"/>
    <w:rsid w:val="3ADA3867"/>
    <w:rsid w:val="3AE15E3F"/>
    <w:rsid w:val="3AEF76B1"/>
    <w:rsid w:val="3AF27012"/>
    <w:rsid w:val="3B0114CC"/>
    <w:rsid w:val="3B050C15"/>
    <w:rsid w:val="3B112207"/>
    <w:rsid w:val="3B112F57"/>
    <w:rsid w:val="3B150877"/>
    <w:rsid w:val="3B1B5ED1"/>
    <w:rsid w:val="3B1C6939"/>
    <w:rsid w:val="3B1E3124"/>
    <w:rsid w:val="3B1F4910"/>
    <w:rsid w:val="3B237FE2"/>
    <w:rsid w:val="3B257B7C"/>
    <w:rsid w:val="3B2E4EF4"/>
    <w:rsid w:val="3B415600"/>
    <w:rsid w:val="3B452280"/>
    <w:rsid w:val="3B4B4611"/>
    <w:rsid w:val="3B555758"/>
    <w:rsid w:val="3B556447"/>
    <w:rsid w:val="3B59157A"/>
    <w:rsid w:val="3B5A461E"/>
    <w:rsid w:val="3B5D028A"/>
    <w:rsid w:val="3B6D0581"/>
    <w:rsid w:val="3B6E1A34"/>
    <w:rsid w:val="3B7A5CB5"/>
    <w:rsid w:val="3B7B36A3"/>
    <w:rsid w:val="3B8535DD"/>
    <w:rsid w:val="3B8A0FE3"/>
    <w:rsid w:val="3B8A6F65"/>
    <w:rsid w:val="3B8B274A"/>
    <w:rsid w:val="3B90223A"/>
    <w:rsid w:val="3BA23EEE"/>
    <w:rsid w:val="3BA866BF"/>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3F34"/>
    <w:rsid w:val="3CC06070"/>
    <w:rsid w:val="3CC433D7"/>
    <w:rsid w:val="3CC5486A"/>
    <w:rsid w:val="3CC9197E"/>
    <w:rsid w:val="3CCB1797"/>
    <w:rsid w:val="3CCC3256"/>
    <w:rsid w:val="3CD81277"/>
    <w:rsid w:val="3CD927D3"/>
    <w:rsid w:val="3CDC73D2"/>
    <w:rsid w:val="3CE03540"/>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806AC3"/>
    <w:rsid w:val="3D8438BD"/>
    <w:rsid w:val="3D8B02DF"/>
    <w:rsid w:val="3D9E5E72"/>
    <w:rsid w:val="3DA009B3"/>
    <w:rsid w:val="3DA009CC"/>
    <w:rsid w:val="3DA13551"/>
    <w:rsid w:val="3DA3195E"/>
    <w:rsid w:val="3DA54FB2"/>
    <w:rsid w:val="3DA5644E"/>
    <w:rsid w:val="3DA63E09"/>
    <w:rsid w:val="3DB72CDE"/>
    <w:rsid w:val="3DB9249A"/>
    <w:rsid w:val="3DBC3CE2"/>
    <w:rsid w:val="3DC118EF"/>
    <w:rsid w:val="3DCE0A89"/>
    <w:rsid w:val="3DCE671C"/>
    <w:rsid w:val="3DD02B71"/>
    <w:rsid w:val="3DD10E6B"/>
    <w:rsid w:val="3DDB2B21"/>
    <w:rsid w:val="3DE107A0"/>
    <w:rsid w:val="3DE21CE1"/>
    <w:rsid w:val="3DE67BD3"/>
    <w:rsid w:val="3DF145BF"/>
    <w:rsid w:val="3DF35996"/>
    <w:rsid w:val="3DF6113A"/>
    <w:rsid w:val="3DF70567"/>
    <w:rsid w:val="3E0328BF"/>
    <w:rsid w:val="3E0F1CFB"/>
    <w:rsid w:val="3E111D45"/>
    <w:rsid w:val="3E1565B5"/>
    <w:rsid w:val="3E1B0CF6"/>
    <w:rsid w:val="3E1B763A"/>
    <w:rsid w:val="3E1D490C"/>
    <w:rsid w:val="3E1F67AC"/>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7316C"/>
    <w:rsid w:val="3F1B0C01"/>
    <w:rsid w:val="3F1C4EE6"/>
    <w:rsid w:val="3F1D37CF"/>
    <w:rsid w:val="3F210B8F"/>
    <w:rsid w:val="3F2228BB"/>
    <w:rsid w:val="3F2C65EA"/>
    <w:rsid w:val="3F3B6E0A"/>
    <w:rsid w:val="3F3F1578"/>
    <w:rsid w:val="3F484DDE"/>
    <w:rsid w:val="3F495688"/>
    <w:rsid w:val="3F505F3F"/>
    <w:rsid w:val="3F575CF6"/>
    <w:rsid w:val="3F5954A7"/>
    <w:rsid w:val="3F5B1636"/>
    <w:rsid w:val="3F6249EF"/>
    <w:rsid w:val="3F6A75F8"/>
    <w:rsid w:val="3F6B633E"/>
    <w:rsid w:val="3F6E46A4"/>
    <w:rsid w:val="3F795109"/>
    <w:rsid w:val="3F863A07"/>
    <w:rsid w:val="3F8714A0"/>
    <w:rsid w:val="3F88589C"/>
    <w:rsid w:val="3F8B0FF0"/>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B7550"/>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C46EC"/>
    <w:rsid w:val="40777B57"/>
    <w:rsid w:val="407B5438"/>
    <w:rsid w:val="407D7B0B"/>
    <w:rsid w:val="408550F0"/>
    <w:rsid w:val="408A4409"/>
    <w:rsid w:val="408F04FF"/>
    <w:rsid w:val="40933A21"/>
    <w:rsid w:val="40953B65"/>
    <w:rsid w:val="40A34B97"/>
    <w:rsid w:val="40A56CD8"/>
    <w:rsid w:val="40A62CBC"/>
    <w:rsid w:val="40A74477"/>
    <w:rsid w:val="40A75108"/>
    <w:rsid w:val="40AB14CD"/>
    <w:rsid w:val="40AF577A"/>
    <w:rsid w:val="40B52843"/>
    <w:rsid w:val="40B62E81"/>
    <w:rsid w:val="40B8270B"/>
    <w:rsid w:val="40C45878"/>
    <w:rsid w:val="40C4645B"/>
    <w:rsid w:val="40C5600E"/>
    <w:rsid w:val="40D31762"/>
    <w:rsid w:val="40D42663"/>
    <w:rsid w:val="40D52670"/>
    <w:rsid w:val="40DB5285"/>
    <w:rsid w:val="40DC200C"/>
    <w:rsid w:val="40E8328F"/>
    <w:rsid w:val="40F31A37"/>
    <w:rsid w:val="410419ED"/>
    <w:rsid w:val="410727A8"/>
    <w:rsid w:val="410E1F87"/>
    <w:rsid w:val="410E261A"/>
    <w:rsid w:val="410F7AAD"/>
    <w:rsid w:val="411557D9"/>
    <w:rsid w:val="41175358"/>
    <w:rsid w:val="411811D5"/>
    <w:rsid w:val="4126297D"/>
    <w:rsid w:val="412911E8"/>
    <w:rsid w:val="412A3388"/>
    <w:rsid w:val="412E4433"/>
    <w:rsid w:val="41362318"/>
    <w:rsid w:val="4136672A"/>
    <w:rsid w:val="41383357"/>
    <w:rsid w:val="413A1854"/>
    <w:rsid w:val="413C1A76"/>
    <w:rsid w:val="414C3A68"/>
    <w:rsid w:val="414D0EE6"/>
    <w:rsid w:val="41501188"/>
    <w:rsid w:val="41581AA2"/>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4134F"/>
    <w:rsid w:val="41AF65DD"/>
    <w:rsid w:val="41B10164"/>
    <w:rsid w:val="41BB3C07"/>
    <w:rsid w:val="41BE631A"/>
    <w:rsid w:val="41C34B5E"/>
    <w:rsid w:val="41C36863"/>
    <w:rsid w:val="41CC3FBF"/>
    <w:rsid w:val="41CE5F9C"/>
    <w:rsid w:val="41D66E7D"/>
    <w:rsid w:val="41DC21AD"/>
    <w:rsid w:val="41DC48D7"/>
    <w:rsid w:val="41E76E0D"/>
    <w:rsid w:val="41FA376E"/>
    <w:rsid w:val="41FE6CB2"/>
    <w:rsid w:val="420556C8"/>
    <w:rsid w:val="4214720F"/>
    <w:rsid w:val="4217488D"/>
    <w:rsid w:val="421D7B36"/>
    <w:rsid w:val="422345EF"/>
    <w:rsid w:val="42240668"/>
    <w:rsid w:val="422A1E24"/>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C0624"/>
    <w:rsid w:val="429F313B"/>
    <w:rsid w:val="429F6653"/>
    <w:rsid w:val="42B302EA"/>
    <w:rsid w:val="42B61338"/>
    <w:rsid w:val="42B90AAB"/>
    <w:rsid w:val="42C5009E"/>
    <w:rsid w:val="42C92A69"/>
    <w:rsid w:val="42C96A82"/>
    <w:rsid w:val="42CF6EF1"/>
    <w:rsid w:val="42D31BA7"/>
    <w:rsid w:val="42D604C8"/>
    <w:rsid w:val="42D72C00"/>
    <w:rsid w:val="42DF35C8"/>
    <w:rsid w:val="42E9081C"/>
    <w:rsid w:val="42EE0EAA"/>
    <w:rsid w:val="42EF0CCD"/>
    <w:rsid w:val="42F1490F"/>
    <w:rsid w:val="42F25520"/>
    <w:rsid w:val="430D0405"/>
    <w:rsid w:val="431417E6"/>
    <w:rsid w:val="43206F9C"/>
    <w:rsid w:val="432D3913"/>
    <w:rsid w:val="433429FE"/>
    <w:rsid w:val="4334351A"/>
    <w:rsid w:val="4336642B"/>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C05A98"/>
    <w:rsid w:val="43C211B7"/>
    <w:rsid w:val="43C86C83"/>
    <w:rsid w:val="43C95ED6"/>
    <w:rsid w:val="43D34204"/>
    <w:rsid w:val="43DD04DA"/>
    <w:rsid w:val="43E232E1"/>
    <w:rsid w:val="43E567A6"/>
    <w:rsid w:val="43F84F4E"/>
    <w:rsid w:val="43FF5CEF"/>
    <w:rsid w:val="44064267"/>
    <w:rsid w:val="440A5B01"/>
    <w:rsid w:val="44124AB7"/>
    <w:rsid w:val="4412613F"/>
    <w:rsid w:val="44165D48"/>
    <w:rsid w:val="441C42F4"/>
    <w:rsid w:val="441F0817"/>
    <w:rsid w:val="441F3CB6"/>
    <w:rsid w:val="44230F47"/>
    <w:rsid w:val="4426547A"/>
    <w:rsid w:val="442A33F4"/>
    <w:rsid w:val="44302CAB"/>
    <w:rsid w:val="4431690E"/>
    <w:rsid w:val="44465D22"/>
    <w:rsid w:val="44574B2B"/>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D65CFD"/>
    <w:rsid w:val="44E77519"/>
    <w:rsid w:val="44E91338"/>
    <w:rsid w:val="44E961E2"/>
    <w:rsid w:val="44F4601C"/>
    <w:rsid w:val="44F5322E"/>
    <w:rsid w:val="44F74C0C"/>
    <w:rsid w:val="44F90A00"/>
    <w:rsid w:val="44FB2595"/>
    <w:rsid w:val="450655DE"/>
    <w:rsid w:val="45080466"/>
    <w:rsid w:val="452378EF"/>
    <w:rsid w:val="4524750B"/>
    <w:rsid w:val="45286865"/>
    <w:rsid w:val="452B4AF6"/>
    <w:rsid w:val="452B5E55"/>
    <w:rsid w:val="452F2E18"/>
    <w:rsid w:val="4532333B"/>
    <w:rsid w:val="45380A36"/>
    <w:rsid w:val="4541568B"/>
    <w:rsid w:val="454F23C2"/>
    <w:rsid w:val="45500C3F"/>
    <w:rsid w:val="455A0801"/>
    <w:rsid w:val="45691AFB"/>
    <w:rsid w:val="456E2A10"/>
    <w:rsid w:val="45743CAB"/>
    <w:rsid w:val="4579584D"/>
    <w:rsid w:val="457D0C68"/>
    <w:rsid w:val="45827A46"/>
    <w:rsid w:val="45845D00"/>
    <w:rsid w:val="45871AE5"/>
    <w:rsid w:val="45896527"/>
    <w:rsid w:val="458C06D4"/>
    <w:rsid w:val="459709F5"/>
    <w:rsid w:val="459D66FF"/>
    <w:rsid w:val="459F7C0E"/>
    <w:rsid w:val="45A71D2E"/>
    <w:rsid w:val="45B317CF"/>
    <w:rsid w:val="45B50138"/>
    <w:rsid w:val="45B55619"/>
    <w:rsid w:val="45BC136B"/>
    <w:rsid w:val="45C45E98"/>
    <w:rsid w:val="45CB77B5"/>
    <w:rsid w:val="45CF3D0C"/>
    <w:rsid w:val="45D6540C"/>
    <w:rsid w:val="45D70722"/>
    <w:rsid w:val="45DA00BF"/>
    <w:rsid w:val="45DB0A71"/>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B1BA0"/>
    <w:rsid w:val="463B2ADE"/>
    <w:rsid w:val="463B613A"/>
    <w:rsid w:val="463F2FC0"/>
    <w:rsid w:val="46532B01"/>
    <w:rsid w:val="46584184"/>
    <w:rsid w:val="46630636"/>
    <w:rsid w:val="4664264C"/>
    <w:rsid w:val="46687376"/>
    <w:rsid w:val="46696D7B"/>
    <w:rsid w:val="4670211B"/>
    <w:rsid w:val="46836D01"/>
    <w:rsid w:val="468431CC"/>
    <w:rsid w:val="46846139"/>
    <w:rsid w:val="468706E8"/>
    <w:rsid w:val="468D2D01"/>
    <w:rsid w:val="46934B28"/>
    <w:rsid w:val="46AA774E"/>
    <w:rsid w:val="46AB3E47"/>
    <w:rsid w:val="46AD5953"/>
    <w:rsid w:val="46B8054D"/>
    <w:rsid w:val="46B861B8"/>
    <w:rsid w:val="46CF0DEB"/>
    <w:rsid w:val="46D4028D"/>
    <w:rsid w:val="46D7105C"/>
    <w:rsid w:val="46DB6A13"/>
    <w:rsid w:val="46DD5FAF"/>
    <w:rsid w:val="46DE7C78"/>
    <w:rsid w:val="46DF5460"/>
    <w:rsid w:val="46EE6B99"/>
    <w:rsid w:val="46EF4DCE"/>
    <w:rsid w:val="46F14E1C"/>
    <w:rsid w:val="46F46934"/>
    <w:rsid w:val="46F72E75"/>
    <w:rsid w:val="46FA0AF3"/>
    <w:rsid w:val="46FD13DF"/>
    <w:rsid w:val="46FD6193"/>
    <w:rsid w:val="46FF0DBC"/>
    <w:rsid w:val="47091A3A"/>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A014C"/>
    <w:rsid w:val="475F52A5"/>
    <w:rsid w:val="476E63C6"/>
    <w:rsid w:val="47701E1E"/>
    <w:rsid w:val="478349BA"/>
    <w:rsid w:val="478D02EE"/>
    <w:rsid w:val="47913274"/>
    <w:rsid w:val="479333F5"/>
    <w:rsid w:val="479615B0"/>
    <w:rsid w:val="47974EBF"/>
    <w:rsid w:val="47984CC8"/>
    <w:rsid w:val="479C0703"/>
    <w:rsid w:val="47A67489"/>
    <w:rsid w:val="47AE368F"/>
    <w:rsid w:val="47BD7E3A"/>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9430E"/>
    <w:rsid w:val="496D3F98"/>
    <w:rsid w:val="49704B16"/>
    <w:rsid w:val="497C4012"/>
    <w:rsid w:val="49822362"/>
    <w:rsid w:val="49831A30"/>
    <w:rsid w:val="498450C2"/>
    <w:rsid w:val="49871D7B"/>
    <w:rsid w:val="498A257F"/>
    <w:rsid w:val="4995687C"/>
    <w:rsid w:val="4998544E"/>
    <w:rsid w:val="49A45FDD"/>
    <w:rsid w:val="49A61B96"/>
    <w:rsid w:val="49B20B48"/>
    <w:rsid w:val="49B55D27"/>
    <w:rsid w:val="49B83EAA"/>
    <w:rsid w:val="49C060D9"/>
    <w:rsid w:val="49C67DAB"/>
    <w:rsid w:val="49D83A18"/>
    <w:rsid w:val="49D8668C"/>
    <w:rsid w:val="49DB3A45"/>
    <w:rsid w:val="49E73C0B"/>
    <w:rsid w:val="49E92B16"/>
    <w:rsid w:val="49EC1B26"/>
    <w:rsid w:val="49FC7FA2"/>
    <w:rsid w:val="4A017C98"/>
    <w:rsid w:val="4A080E5C"/>
    <w:rsid w:val="4A1C1EE0"/>
    <w:rsid w:val="4A1D0A93"/>
    <w:rsid w:val="4A210B7E"/>
    <w:rsid w:val="4A335E86"/>
    <w:rsid w:val="4A357040"/>
    <w:rsid w:val="4A3B0DBF"/>
    <w:rsid w:val="4A3C074A"/>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53B44"/>
    <w:rsid w:val="4A89373F"/>
    <w:rsid w:val="4A8E1531"/>
    <w:rsid w:val="4A910C23"/>
    <w:rsid w:val="4A96477D"/>
    <w:rsid w:val="4A974D5B"/>
    <w:rsid w:val="4A997F8F"/>
    <w:rsid w:val="4A9C2DCD"/>
    <w:rsid w:val="4AA05291"/>
    <w:rsid w:val="4AA14390"/>
    <w:rsid w:val="4AA22C7D"/>
    <w:rsid w:val="4AA42653"/>
    <w:rsid w:val="4AAA4B07"/>
    <w:rsid w:val="4ABA7F00"/>
    <w:rsid w:val="4ABD6D28"/>
    <w:rsid w:val="4AC740F5"/>
    <w:rsid w:val="4ACB13CF"/>
    <w:rsid w:val="4ACC69CB"/>
    <w:rsid w:val="4ADD25FB"/>
    <w:rsid w:val="4ADE4335"/>
    <w:rsid w:val="4AF30717"/>
    <w:rsid w:val="4AFF2915"/>
    <w:rsid w:val="4B002C3A"/>
    <w:rsid w:val="4B004741"/>
    <w:rsid w:val="4B02288A"/>
    <w:rsid w:val="4B0346BA"/>
    <w:rsid w:val="4B04025E"/>
    <w:rsid w:val="4B045160"/>
    <w:rsid w:val="4B135609"/>
    <w:rsid w:val="4B1C67FA"/>
    <w:rsid w:val="4B2056D4"/>
    <w:rsid w:val="4B206A6B"/>
    <w:rsid w:val="4B3221B7"/>
    <w:rsid w:val="4B3C403E"/>
    <w:rsid w:val="4B4A1E20"/>
    <w:rsid w:val="4B521D81"/>
    <w:rsid w:val="4B5B261F"/>
    <w:rsid w:val="4B687FD4"/>
    <w:rsid w:val="4B741C5B"/>
    <w:rsid w:val="4B751079"/>
    <w:rsid w:val="4B811257"/>
    <w:rsid w:val="4B816993"/>
    <w:rsid w:val="4B83233B"/>
    <w:rsid w:val="4B9419F7"/>
    <w:rsid w:val="4B9E2880"/>
    <w:rsid w:val="4B9E74AF"/>
    <w:rsid w:val="4BA96810"/>
    <w:rsid w:val="4BAC02EC"/>
    <w:rsid w:val="4BAD645F"/>
    <w:rsid w:val="4BAE62F5"/>
    <w:rsid w:val="4BB75525"/>
    <w:rsid w:val="4BBE10A9"/>
    <w:rsid w:val="4BC11F3B"/>
    <w:rsid w:val="4BD62466"/>
    <w:rsid w:val="4BE27C81"/>
    <w:rsid w:val="4BED0DF8"/>
    <w:rsid w:val="4C021DD3"/>
    <w:rsid w:val="4C053F9C"/>
    <w:rsid w:val="4C057789"/>
    <w:rsid w:val="4C0D6866"/>
    <w:rsid w:val="4C0E4DDE"/>
    <w:rsid w:val="4C0F1FA0"/>
    <w:rsid w:val="4C1A44FD"/>
    <w:rsid w:val="4C222801"/>
    <w:rsid w:val="4C2744DE"/>
    <w:rsid w:val="4C366339"/>
    <w:rsid w:val="4C3900BA"/>
    <w:rsid w:val="4C3972A1"/>
    <w:rsid w:val="4C443324"/>
    <w:rsid w:val="4C4A1538"/>
    <w:rsid w:val="4C4B5CF1"/>
    <w:rsid w:val="4C4E507A"/>
    <w:rsid w:val="4C5222E0"/>
    <w:rsid w:val="4C572DDC"/>
    <w:rsid w:val="4C5A1877"/>
    <w:rsid w:val="4C5A1C18"/>
    <w:rsid w:val="4C632EB2"/>
    <w:rsid w:val="4C644A3A"/>
    <w:rsid w:val="4C68078E"/>
    <w:rsid w:val="4C6C00DD"/>
    <w:rsid w:val="4C6D5048"/>
    <w:rsid w:val="4C750FB7"/>
    <w:rsid w:val="4C7B0F88"/>
    <w:rsid w:val="4C7C25EF"/>
    <w:rsid w:val="4C83194C"/>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E493D"/>
    <w:rsid w:val="4CDF1E61"/>
    <w:rsid w:val="4CE1210C"/>
    <w:rsid w:val="4CE71987"/>
    <w:rsid w:val="4CE953A1"/>
    <w:rsid w:val="4CEA05FD"/>
    <w:rsid w:val="4CEC147B"/>
    <w:rsid w:val="4CEE2310"/>
    <w:rsid w:val="4CF21274"/>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545A3"/>
    <w:rsid w:val="4D56242D"/>
    <w:rsid w:val="4D5E313C"/>
    <w:rsid w:val="4D63794E"/>
    <w:rsid w:val="4D69275F"/>
    <w:rsid w:val="4D696340"/>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945C5"/>
    <w:rsid w:val="4DE100E7"/>
    <w:rsid w:val="4DE52367"/>
    <w:rsid w:val="4DF57D5B"/>
    <w:rsid w:val="4DFB4AE2"/>
    <w:rsid w:val="4E0D58F7"/>
    <w:rsid w:val="4E101469"/>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5727"/>
    <w:rsid w:val="4E8D5B77"/>
    <w:rsid w:val="4E9F5822"/>
    <w:rsid w:val="4E9F6EED"/>
    <w:rsid w:val="4EA62C4C"/>
    <w:rsid w:val="4EAB4013"/>
    <w:rsid w:val="4EAD5507"/>
    <w:rsid w:val="4EB37DFC"/>
    <w:rsid w:val="4EB54156"/>
    <w:rsid w:val="4EB74D7B"/>
    <w:rsid w:val="4EBC593E"/>
    <w:rsid w:val="4ED208AF"/>
    <w:rsid w:val="4ED300A0"/>
    <w:rsid w:val="4ED74ED3"/>
    <w:rsid w:val="4ED77782"/>
    <w:rsid w:val="4ED85667"/>
    <w:rsid w:val="4EE8080A"/>
    <w:rsid w:val="4EEA0EBA"/>
    <w:rsid w:val="4EEB1A66"/>
    <w:rsid w:val="4EED1C0E"/>
    <w:rsid w:val="4EED6A77"/>
    <w:rsid w:val="4EEE7018"/>
    <w:rsid w:val="4EEF36C1"/>
    <w:rsid w:val="4EF86446"/>
    <w:rsid w:val="4F0536FA"/>
    <w:rsid w:val="4F0828E6"/>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B78F2"/>
    <w:rsid w:val="4F7F2C82"/>
    <w:rsid w:val="4F874785"/>
    <w:rsid w:val="4F885556"/>
    <w:rsid w:val="4F8906F1"/>
    <w:rsid w:val="4F8C1C07"/>
    <w:rsid w:val="4F8C6DE9"/>
    <w:rsid w:val="4F94645F"/>
    <w:rsid w:val="4F976963"/>
    <w:rsid w:val="4F9E3A19"/>
    <w:rsid w:val="4FA057FA"/>
    <w:rsid w:val="4FA50BF5"/>
    <w:rsid w:val="4FAB3195"/>
    <w:rsid w:val="4FAE1C5C"/>
    <w:rsid w:val="4FAE2769"/>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50082EF5"/>
    <w:rsid w:val="500D60A8"/>
    <w:rsid w:val="50100F97"/>
    <w:rsid w:val="50174394"/>
    <w:rsid w:val="501A0BBE"/>
    <w:rsid w:val="501A21E0"/>
    <w:rsid w:val="5021442D"/>
    <w:rsid w:val="502226B7"/>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93A83"/>
    <w:rsid w:val="513B3DF9"/>
    <w:rsid w:val="51401B57"/>
    <w:rsid w:val="51480A97"/>
    <w:rsid w:val="51540609"/>
    <w:rsid w:val="51756972"/>
    <w:rsid w:val="517E1E1F"/>
    <w:rsid w:val="51813564"/>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34DB4"/>
    <w:rsid w:val="51DA0FA7"/>
    <w:rsid w:val="51E514EF"/>
    <w:rsid w:val="51EC7A89"/>
    <w:rsid w:val="51F950A0"/>
    <w:rsid w:val="52013C23"/>
    <w:rsid w:val="52022324"/>
    <w:rsid w:val="52161438"/>
    <w:rsid w:val="52180389"/>
    <w:rsid w:val="521B4203"/>
    <w:rsid w:val="522012E9"/>
    <w:rsid w:val="5228188A"/>
    <w:rsid w:val="522A6770"/>
    <w:rsid w:val="522F191C"/>
    <w:rsid w:val="52363194"/>
    <w:rsid w:val="52365463"/>
    <w:rsid w:val="5240020F"/>
    <w:rsid w:val="5247336B"/>
    <w:rsid w:val="524A5C68"/>
    <w:rsid w:val="52532968"/>
    <w:rsid w:val="52546140"/>
    <w:rsid w:val="525D3774"/>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B74EB"/>
    <w:rsid w:val="52CE6819"/>
    <w:rsid w:val="52CF576A"/>
    <w:rsid w:val="52D02BD7"/>
    <w:rsid w:val="52D67630"/>
    <w:rsid w:val="52DA3F13"/>
    <w:rsid w:val="52E838BE"/>
    <w:rsid w:val="52F42816"/>
    <w:rsid w:val="52FE47A9"/>
    <w:rsid w:val="53045931"/>
    <w:rsid w:val="53063DBD"/>
    <w:rsid w:val="53172A50"/>
    <w:rsid w:val="53240747"/>
    <w:rsid w:val="532522FD"/>
    <w:rsid w:val="5325629E"/>
    <w:rsid w:val="53275C7D"/>
    <w:rsid w:val="53311BF2"/>
    <w:rsid w:val="533D4C85"/>
    <w:rsid w:val="53456AB3"/>
    <w:rsid w:val="534641E0"/>
    <w:rsid w:val="534718C6"/>
    <w:rsid w:val="53496F02"/>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85556"/>
    <w:rsid w:val="53AE4BE8"/>
    <w:rsid w:val="53B151E7"/>
    <w:rsid w:val="53B5455A"/>
    <w:rsid w:val="53BB16B1"/>
    <w:rsid w:val="53BB4E26"/>
    <w:rsid w:val="53BF3327"/>
    <w:rsid w:val="53C457C1"/>
    <w:rsid w:val="53CC1775"/>
    <w:rsid w:val="53D221BC"/>
    <w:rsid w:val="53D260C2"/>
    <w:rsid w:val="53D31BF0"/>
    <w:rsid w:val="53D547DC"/>
    <w:rsid w:val="53D92556"/>
    <w:rsid w:val="53DA4787"/>
    <w:rsid w:val="53DC05C0"/>
    <w:rsid w:val="53DF5C3F"/>
    <w:rsid w:val="53E51AEE"/>
    <w:rsid w:val="53E96863"/>
    <w:rsid w:val="53EC6CC0"/>
    <w:rsid w:val="53EF2647"/>
    <w:rsid w:val="53F766D2"/>
    <w:rsid w:val="53F972C7"/>
    <w:rsid w:val="53FC6CB5"/>
    <w:rsid w:val="53FE1559"/>
    <w:rsid w:val="54022730"/>
    <w:rsid w:val="540C7023"/>
    <w:rsid w:val="540E61DA"/>
    <w:rsid w:val="541510B4"/>
    <w:rsid w:val="541511E9"/>
    <w:rsid w:val="54247E64"/>
    <w:rsid w:val="54287B8E"/>
    <w:rsid w:val="542D6B57"/>
    <w:rsid w:val="54372B10"/>
    <w:rsid w:val="54412BF0"/>
    <w:rsid w:val="54422EDA"/>
    <w:rsid w:val="544417C9"/>
    <w:rsid w:val="544B50D5"/>
    <w:rsid w:val="54514458"/>
    <w:rsid w:val="546A78D3"/>
    <w:rsid w:val="54767E31"/>
    <w:rsid w:val="54781903"/>
    <w:rsid w:val="548878FA"/>
    <w:rsid w:val="548A1E4E"/>
    <w:rsid w:val="548D289E"/>
    <w:rsid w:val="54910BA4"/>
    <w:rsid w:val="549A0616"/>
    <w:rsid w:val="549B20E6"/>
    <w:rsid w:val="549E3FD7"/>
    <w:rsid w:val="54A60315"/>
    <w:rsid w:val="54B86248"/>
    <w:rsid w:val="54C24B82"/>
    <w:rsid w:val="54C50B9C"/>
    <w:rsid w:val="54CA3C93"/>
    <w:rsid w:val="54D00FCE"/>
    <w:rsid w:val="54D51870"/>
    <w:rsid w:val="54D90E80"/>
    <w:rsid w:val="54E21F4F"/>
    <w:rsid w:val="54E71077"/>
    <w:rsid w:val="54E925A9"/>
    <w:rsid w:val="54F54248"/>
    <w:rsid w:val="551908BF"/>
    <w:rsid w:val="55213B26"/>
    <w:rsid w:val="552524A9"/>
    <w:rsid w:val="55270ECD"/>
    <w:rsid w:val="552924E6"/>
    <w:rsid w:val="552C3CEB"/>
    <w:rsid w:val="552D19C6"/>
    <w:rsid w:val="552D7D08"/>
    <w:rsid w:val="55327DE8"/>
    <w:rsid w:val="55353746"/>
    <w:rsid w:val="5536380F"/>
    <w:rsid w:val="55396816"/>
    <w:rsid w:val="553A166A"/>
    <w:rsid w:val="553D4D07"/>
    <w:rsid w:val="554342CA"/>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978EB"/>
    <w:rsid w:val="561D0938"/>
    <w:rsid w:val="56254844"/>
    <w:rsid w:val="562C48A4"/>
    <w:rsid w:val="562E289A"/>
    <w:rsid w:val="56324964"/>
    <w:rsid w:val="5635337A"/>
    <w:rsid w:val="563B1048"/>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F1F76"/>
    <w:rsid w:val="56C0283E"/>
    <w:rsid w:val="56C05533"/>
    <w:rsid w:val="56C7434B"/>
    <w:rsid w:val="56CA491F"/>
    <w:rsid w:val="56D418EA"/>
    <w:rsid w:val="56D43345"/>
    <w:rsid w:val="56E365E9"/>
    <w:rsid w:val="56E8313E"/>
    <w:rsid w:val="56EB4412"/>
    <w:rsid w:val="56F25548"/>
    <w:rsid w:val="56F418B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E625E6"/>
    <w:rsid w:val="57F66988"/>
    <w:rsid w:val="57F85B18"/>
    <w:rsid w:val="57FA183A"/>
    <w:rsid w:val="580014A4"/>
    <w:rsid w:val="580E43B2"/>
    <w:rsid w:val="58127039"/>
    <w:rsid w:val="581C076D"/>
    <w:rsid w:val="58397B39"/>
    <w:rsid w:val="58407313"/>
    <w:rsid w:val="58463E71"/>
    <w:rsid w:val="58476216"/>
    <w:rsid w:val="584A0C32"/>
    <w:rsid w:val="585501BC"/>
    <w:rsid w:val="58577099"/>
    <w:rsid w:val="58650C5B"/>
    <w:rsid w:val="586E570C"/>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B200C"/>
    <w:rsid w:val="593712A6"/>
    <w:rsid w:val="59376AEA"/>
    <w:rsid w:val="59384413"/>
    <w:rsid w:val="59391116"/>
    <w:rsid w:val="59407EC1"/>
    <w:rsid w:val="59450184"/>
    <w:rsid w:val="594C4BE4"/>
    <w:rsid w:val="595719C7"/>
    <w:rsid w:val="595D7276"/>
    <w:rsid w:val="59607CB3"/>
    <w:rsid w:val="59643A9B"/>
    <w:rsid w:val="596919E9"/>
    <w:rsid w:val="59695EEC"/>
    <w:rsid w:val="59741F96"/>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25188"/>
    <w:rsid w:val="59D75E4C"/>
    <w:rsid w:val="59EE4079"/>
    <w:rsid w:val="59F04440"/>
    <w:rsid w:val="59F141F6"/>
    <w:rsid w:val="59FF3986"/>
    <w:rsid w:val="5A02602A"/>
    <w:rsid w:val="5A16478D"/>
    <w:rsid w:val="5A1E3F86"/>
    <w:rsid w:val="5A21777F"/>
    <w:rsid w:val="5A2250DB"/>
    <w:rsid w:val="5A307F24"/>
    <w:rsid w:val="5A3559F8"/>
    <w:rsid w:val="5A3F48E3"/>
    <w:rsid w:val="5A441EE2"/>
    <w:rsid w:val="5A464D3F"/>
    <w:rsid w:val="5A465251"/>
    <w:rsid w:val="5A474346"/>
    <w:rsid w:val="5A484453"/>
    <w:rsid w:val="5A4F3A41"/>
    <w:rsid w:val="5A622269"/>
    <w:rsid w:val="5A63635F"/>
    <w:rsid w:val="5A6C627E"/>
    <w:rsid w:val="5A6E2A62"/>
    <w:rsid w:val="5A702555"/>
    <w:rsid w:val="5A7C5F86"/>
    <w:rsid w:val="5A7E727D"/>
    <w:rsid w:val="5A7F6ABA"/>
    <w:rsid w:val="5A804900"/>
    <w:rsid w:val="5A822B02"/>
    <w:rsid w:val="5A8544A5"/>
    <w:rsid w:val="5A891233"/>
    <w:rsid w:val="5A892D67"/>
    <w:rsid w:val="5A8F3D71"/>
    <w:rsid w:val="5A981732"/>
    <w:rsid w:val="5AA04FEC"/>
    <w:rsid w:val="5AA550F7"/>
    <w:rsid w:val="5AA77EBD"/>
    <w:rsid w:val="5AAB3608"/>
    <w:rsid w:val="5AAD115C"/>
    <w:rsid w:val="5AB143A8"/>
    <w:rsid w:val="5AB362B7"/>
    <w:rsid w:val="5AB55C9B"/>
    <w:rsid w:val="5ABE2DB3"/>
    <w:rsid w:val="5AC4568B"/>
    <w:rsid w:val="5AC465B0"/>
    <w:rsid w:val="5AC9126A"/>
    <w:rsid w:val="5ACB4402"/>
    <w:rsid w:val="5ACD5F94"/>
    <w:rsid w:val="5AD140B1"/>
    <w:rsid w:val="5AD7618C"/>
    <w:rsid w:val="5ADC54ED"/>
    <w:rsid w:val="5AE627DD"/>
    <w:rsid w:val="5AE65AC1"/>
    <w:rsid w:val="5AE86727"/>
    <w:rsid w:val="5AE95F91"/>
    <w:rsid w:val="5AED60B1"/>
    <w:rsid w:val="5AF10757"/>
    <w:rsid w:val="5AF37FC2"/>
    <w:rsid w:val="5AF70F88"/>
    <w:rsid w:val="5AF745DE"/>
    <w:rsid w:val="5AFE4E4F"/>
    <w:rsid w:val="5B0249E0"/>
    <w:rsid w:val="5B040782"/>
    <w:rsid w:val="5B043ACD"/>
    <w:rsid w:val="5B0D44D7"/>
    <w:rsid w:val="5B1641FE"/>
    <w:rsid w:val="5B1838CA"/>
    <w:rsid w:val="5B1A00B4"/>
    <w:rsid w:val="5B1D0B7B"/>
    <w:rsid w:val="5B1F372F"/>
    <w:rsid w:val="5B214B7A"/>
    <w:rsid w:val="5B23145A"/>
    <w:rsid w:val="5B2775CA"/>
    <w:rsid w:val="5B3079B1"/>
    <w:rsid w:val="5B3A53F7"/>
    <w:rsid w:val="5B3C26CD"/>
    <w:rsid w:val="5B3F35C5"/>
    <w:rsid w:val="5B3F6C62"/>
    <w:rsid w:val="5B462C87"/>
    <w:rsid w:val="5B467A3A"/>
    <w:rsid w:val="5B484384"/>
    <w:rsid w:val="5B576288"/>
    <w:rsid w:val="5B605983"/>
    <w:rsid w:val="5B663AED"/>
    <w:rsid w:val="5B69795A"/>
    <w:rsid w:val="5B6B2882"/>
    <w:rsid w:val="5B6F1970"/>
    <w:rsid w:val="5B72043B"/>
    <w:rsid w:val="5B770A85"/>
    <w:rsid w:val="5B7E1425"/>
    <w:rsid w:val="5B7E573E"/>
    <w:rsid w:val="5B822E9B"/>
    <w:rsid w:val="5B8578BE"/>
    <w:rsid w:val="5B893FE8"/>
    <w:rsid w:val="5B96388B"/>
    <w:rsid w:val="5B9A1729"/>
    <w:rsid w:val="5B9C7EC8"/>
    <w:rsid w:val="5B9E66F6"/>
    <w:rsid w:val="5BA21FBD"/>
    <w:rsid w:val="5BA40851"/>
    <w:rsid w:val="5BAF0D57"/>
    <w:rsid w:val="5BBC3894"/>
    <w:rsid w:val="5BBC7CD9"/>
    <w:rsid w:val="5BC207F8"/>
    <w:rsid w:val="5BC95954"/>
    <w:rsid w:val="5BD45122"/>
    <w:rsid w:val="5BD90725"/>
    <w:rsid w:val="5BDB30C2"/>
    <w:rsid w:val="5BE06C40"/>
    <w:rsid w:val="5BE4696F"/>
    <w:rsid w:val="5BE56C52"/>
    <w:rsid w:val="5BE6132E"/>
    <w:rsid w:val="5BEB0994"/>
    <w:rsid w:val="5BEB711B"/>
    <w:rsid w:val="5BEC2613"/>
    <w:rsid w:val="5BF069A9"/>
    <w:rsid w:val="5BFF68A2"/>
    <w:rsid w:val="5C010EEF"/>
    <w:rsid w:val="5C152995"/>
    <w:rsid w:val="5C1A0B69"/>
    <w:rsid w:val="5C2E0ABA"/>
    <w:rsid w:val="5C4302AF"/>
    <w:rsid w:val="5C496E06"/>
    <w:rsid w:val="5C501594"/>
    <w:rsid w:val="5C530A3F"/>
    <w:rsid w:val="5C533B56"/>
    <w:rsid w:val="5C5820E1"/>
    <w:rsid w:val="5C63455C"/>
    <w:rsid w:val="5C690B0C"/>
    <w:rsid w:val="5C7103F1"/>
    <w:rsid w:val="5C734616"/>
    <w:rsid w:val="5C8E4D46"/>
    <w:rsid w:val="5C911EB8"/>
    <w:rsid w:val="5C945015"/>
    <w:rsid w:val="5C985759"/>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A39D0"/>
    <w:rsid w:val="5D4A3B3F"/>
    <w:rsid w:val="5D545032"/>
    <w:rsid w:val="5D680387"/>
    <w:rsid w:val="5D6D5C66"/>
    <w:rsid w:val="5D7206A1"/>
    <w:rsid w:val="5D740B52"/>
    <w:rsid w:val="5D74307D"/>
    <w:rsid w:val="5D755F99"/>
    <w:rsid w:val="5D7656F6"/>
    <w:rsid w:val="5D782CF4"/>
    <w:rsid w:val="5D7E3940"/>
    <w:rsid w:val="5D850140"/>
    <w:rsid w:val="5D8F323A"/>
    <w:rsid w:val="5D9638E2"/>
    <w:rsid w:val="5D9658FD"/>
    <w:rsid w:val="5D980180"/>
    <w:rsid w:val="5DA00BBA"/>
    <w:rsid w:val="5DA13035"/>
    <w:rsid w:val="5DA264BD"/>
    <w:rsid w:val="5DA81A7E"/>
    <w:rsid w:val="5DB62AA6"/>
    <w:rsid w:val="5DB76529"/>
    <w:rsid w:val="5DC0151D"/>
    <w:rsid w:val="5DC53FF5"/>
    <w:rsid w:val="5DCE4D4E"/>
    <w:rsid w:val="5DD02444"/>
    <w:rsid w:val="5DD30C3F"/>
    <w:rsid w:val="5DD649D0"/>
    <w:rsid w:val="5DDC52FB"/>
    <w:rsid w:val="5DE00370"/>
    <w:rsid w:val="5DE20BD2"/>
    <w:rsid w:val="5DE24087"/>
    <w:rsid w:val="5DE26ACA"/>
    <w:rsid w:val="5DE37EA6"/>
    <w:rsid w:val="5DEA787A"/>
    <w:rsid w:val="5DEE4F56"/>
    <w:rsid w:val="5DF23E5C"/>
    <w:rsid w:val="5DF32F4F"/>
    <w:rsid w:val="5DF946B2"/>
    <w:rsid w:val="5DFA04F6"/>
    <w:rsid w:val="5E034523"/>
    <w:rsid w:val="5E090D92"/>
    <w:rsid w:val="5E0F732F"/>
    <w:rsid w:val="5E146038"/>
    <w:rsid w:val="5E2D2F8F"/>
    <w:rsid w:val="5E2E257F"/>
    <w:rsid w:val="5E335822"/>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D29BD"/>
    <w:rsid w:val="5E803CD0"/>
    <w:rsid w:val="5E8175BA"/>
    <w:rsid w:val="5E86385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D01BB4"/>
    <w:rsid w:val="5ED650D9"/>
    <w:rsid w:val="5ED75DC6"/>
    <w:rsid w:val="5ED938A6"/>
    <w:rsid w:val="5EDA017A"/>
    <w:rsid w:val="5EDE0371"/>
    <w:rsid w:val="5EEC0916"/>
    <w:rsid w:val="5EEC6FA8"/>
    <w:rsid w:val="5EF04D4E"/>
    <w:rsid w:val="5EF8799D"/>
    <w:rsid w:val="5EFC637F"/>
    <w:rsid w:val="5EFE1DCB"/>
    <w:rsid w:val="5F023BBA"/>
    <w:rsid w:val="5F065860"/>
    <w:rsid w:val="5F075C75"/>
    <w:rsid w:val="5F0825EB"/>
    <w:rsid w:val="5F0F25B5"/>
    <w:rsid w:val="5F0F3CC7"/>
    <w:rsid w:val="5F1903F3"/>
    <w:rsid w:val="5F254AD4"/>
    <w:rsid w:val="5F2C1ADA"/>
    <w:rsid w:val="5F307E55"/>
    <w:rsid w:val="5F3C6F75"/>
    <w:rsid w:val="5F403104"/>
    <w:rsid w:val="5F415D9D"/>
    <w:rsid w:val="5F4744F9"/>
    <w:rsid w:val="5F496628"/>
    <w:rsid w:val="5F5111A7"/>
    <w:rsid w:val="5F514A63"/>
    <w:rsid w:val="5F5D2245"/>
    <w:rsid w:val="5F5F4C16"/>
    <w:rsid w:val="5F6A0B5D"/>
    <w:rsid w:val="5F6C211E"/>
    <w:rsid w:val="5F727DD0"/>
    <w:rsid w:val="5F7536CD"/>
    <w:rsid w:val="5F794FC5"/>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F446A9"/>
    <w:rsid w:val="5FF85070"/>
    <w:rsid w:val="5FF940F0"/>
    <w:rsid w:val="5FF96E21"/>
    <w:rsid w:val="5FFC4F56"/>
    <w:rsid w:val="6007496A"/>
    <w:rsid w:val="600870EA"/>
    <w:rsid w:val="6013140E"/>
    <w:rsid w:val="601A36E0"/>
    <w:rsid w:val="601D2C80"/>
    <w:rsid w:val="601E28CD"/>
    <w:rsid w:val="602229C5"/>
    <w:rsid w:val="602640DE"/>
    <w:rsid w:val="602664AC"/>
    <w:rsid w:val="603E4F2F"/>
    <w:rsid w:val="60432B5E"/>
    <w:rsid w:val="60472491"/>
    <w:rsid w:val="605F164B"/>
    <w:rsid w:val="6061481C"/>
    <w:rsid w:val="60667C18"/>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F74B2"/>
    <w:rsid w:val="60D46E93"/>
    <w:rsid w:val="60D640BA"/>
    <w:rsid w:val="60EA6A84"/>
    <w:rsid w:val="60ED3071"/>
    <w:rsid w:val="60ED7C9C"/>
    <w:rsid w:val="60F20FB7"/>
    <w:rsid w:val="60F40158"/>
    <w:rsid w:val="60FD647E"/>
    <w:rsid w:val="60FE6691"/>
    <w:rsid w:val="61016998"/>
    <w:rsid w:val="610B0F2E"/>
    <w:rsid w:val="61174B39"/>
    <w:rsid w:val="611A0DA2"/>
    <w:rsid w:val="611A2038"/>
    <w:rsid w:val="611C5424"/>
    <w:rsid w:val="612369B4"/>
    <w:rsid w:val="612C5770"/>
    <w:rsid w:val="6131314D"/>
    <w:rsid w:val="61346941"/>
    <w:rsid w:val="613A74B9"/>
    <w:rsid w:val="613C1C4E"/>
    <w:rsid w:val="613F585A"/>
    <w:rsid w:val="614D3232"/>
    <w:rsid w:val="61547574"/>
    <w:rsid w:val="61550767"/>
    <w:rsid w:val="615F7EE9"/>
    <w:rsid w:val="616A5B5D"/>
    <w:rsid w:val="61747347"/>
    <w:rsid w:val="61784C09"/>
    <w:rsid w:val="617C1EED"/>
    <w:rsid w:val="617C37F4"/>
    <w:rsid w:val="617E6243"/>
    <w:rsid w:val="61843430"/>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502C"/>
    <w:rsid w:val="621A2FC5"/>
    <w:rsid w:val="621C3196"/>
    <w:rsid w:val="622710A4"/>
    <w:rsid w:val="62281E02"/>
    <w:rsid w:val="62293F1C"/>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9906C8"/>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3074D4D"/>
    <w:rsid w:val="630E2EB5"/>
    <w:rsid w:val="63126B2F"/>
    <w:rsid w:val="63133D38"/>
    <w:rsid w:val="631779BD"/>
    <w:rsid w:val="633336D4"/>
    <w:rsid w:val="63350F4B"/>
    <w:rsid w:val="63351903"/>
    <w:rsid w:val="6341499B"/>
    <w:rsid w:val="63416F64"/>
    <w:rsid w:val="634325ED"/>
    <w:rsid w:val="63443AEC"/>
    <w:rsid w:val="634802B3"/>
    <w:rsid w:val="63574F6E"/>
    <w:rsid w:val="635C28DF"/>
    <w:rsid w:val="63602152"/>
    <w:rsid w:val="636075B2"/>
    <w:rsid w:val="63652712"/>
    <w:rsid w:val="636A0F15"/>
    <w:rsid w:val="637A63EB"/>
    <w:rsid w:val="6385218B"/>
    <w:rsid w:val="638541CF"/>
    <w:rsid w:val="63864A92"/>
    <w:rsid w:val="639154D4"/>
    <w:rsid w:val="639A0875"/>
    <w:rsid w:val="63A17DFD"/>
    <w:rsid w:val="63AB1FE1"/>
    <w:rsid w:val="63B5452C"/>
    <w:rsid w:val="63B76AE2"/>
    <w:rsid w:val="63BD439C"/>
    <w:rsid w:val="63BD7C68"/>
    <w:rsid w:val="63C41DD1"/>
    <w:rsid w:val="63C72372"/>
    <w:rsid w:val="63C977A8"/>
    <w:rsid w:val="63D25757"/>
    <w:rsid w:val="63D32D5D"/>
    <w:rsid w:val="63D72CE7"/>
    <w:rsid w:val="63E03FEA"/>
    <w:rsid w:val="63E33D27"/>
    <w:rsid w:val="63E96742"/>
    <w:rsid w:val="63F25DA5"/>
    <w:rsid w:val="63F7692E"/>
    <w:rsid w:val="63FC5574"/>
    <w:rsid w:val="6401570F"/>
    <w:rsid w:val="6405483D"/>
    <w:rsid w:val="640C5C73"/>
    <w:rsid w:val="640E6446"/>
    <w:rsid w:val="6410782B"/>
    <w:rsid w:val="64131ACE"/>
    <w:rsid w:val="64193316"/>
    <w:rsid w:val="641E4A63"/>
    <w:rsid w:val="641F6408"/>
    <w:rsid w:val="64267B2C"/>
    <w:rsid w:val="642B5677"/>
    <w:rsid w:val="642C2369"/>
    <w:rsid w:val="6435158C"/>
    <w:rsid w:val="643B5957"/>
    <w:rsid w:val="644C64F7"/>
    <w:rsid w:val="64573736"/>
    <w:rsid w:val="64595EAC"/>
    <w:rsid w:val="64655408"/>
    <w:rsid w:val="646905B9"/>
    <w:rsid w:val="646A1498"/>
    <w:rsid w:val="646A4255"/>
    <w:rsid w:val="64713B8F"/>
    <w:rsid w:val="647301C9"/>
    <w:rsid w:val="64753628"/>
    <w:rsid w:val="64762A3B"/>
    <w:rsid w:val="64780C1F"/>
    <w:rsid w:val="648230FE"/>
    <w:rsid w:val="64897D48"/>
    <w:rsid w:val="648B5C8D"/>
    <w:rsid w:val="649040B2"/>
    <w:rsid w:val="64932164"/>
    <w:rsid w:val="64990A00"/>
    <w:rsid w:val="64AB6B0F"/>
    <w:rsid w:val="64AD64C8"/>
    <w:rsid w:val="64AE4EA4"/>
    <w:rsid w:val="64B11EFC"/>
    <w:rsid w:val="64B35DE8"/>
    <w:rsid w:val="64B7365E"/>
    <w:rsid w:val="64BF2A8C"/>
    <w:rsid w:val="64C32A6F"/>
    <w:rsid w:val="64C63292"/>
    <w:rsid w:val="64C70EC1"/>
    <w:rsid w:val="64C91401"/>
    <w:rsid w:val="64CD2D4A"/>
    <w:rsid w:val="64D71BA6"/>
    <w:rsid w:val="64F05517"/>
    <w:rsid w:val="64F34891"/>
    <w:rsid w:val="64F45D47"/>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87ECF"/>
    <w:rsid w:val="6529782D"/>
    <w:rsid w:val="653F3F4B"/>
    <w:rsid w:val="65442614"/>
    <w:rsid w:val="65483234"/>
    <w:rsid w:val="654A70DD"/>
    <w:rsid w:val="65506794"/>
    <w:rsid w:val="65572F3C"/>
    <w:rsid w:val="655A3450"/>
    <w:rsid w:val="655E4E68"/>
    <w:rsid w:val="656503D7"/>
    <w:rsid w:val="657024EB"/>
    <w:rsid w:val="6570285A"/>
    <w:rsid w:val="65745028"/>
    <w:rsid w:val="65776C14"/>
    <w:rsid w:val="657D055C"/>
    <w:rsid w:val="65880D68"/>
    <w:rsid w:val="658F3432"/>
    <w:rsid w:val="659000AC"/>
    <w:rsid w:val="65945ABB"/>
    <w:rsid w:val="6595479B"/>
    <w:rsid w:val="659E4899"/>
    <w:rsid w:val="65AF5A95"/>
    <w:rsid w:val="65B63190"/>
    <w:rsid w:val="65BC64AA"/>
    <w:rsid w:val="65C83518"/>
    <w:rsid w:val="65E06B23"/>
    <w:rsid w:val="65E731DB"/>
    <w:rsid w:val="65EB61D4"/>
    <w:rsid w:val="65EC1286"/>
    <w:rsid w:val="65EE4D2A"/>
    <w:rsid w:val="65F04330"/>
    <w:rsid w:val="65F20F15"/>
    <w:rsid w:val="65F3675D"/>
    <w:rsid w:val="65F618D7"/>
    <w:rsid w:val="65FD216C"/>
    <w:rsid w:val="65FE7DD6"/>
    <w:rsid w:val="66031B87"/>
    <w:rsid w:val="660A05D9"/>
    <w:rsid w:val="660B76F3"/>
    <w:rsid w:val="66156C4D"/>
    <w:rsid w:val="66164AC3"/>
    <w:rsid w:val="661B36E7"/>
    <w:rsid w:val="661E0924"/>
    <w:rsid w:val="662244D2"/>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D23D78"/>
    <w:rsid w:val="66D61628"/>
    <w:rsid w:val="66D76593"/>
    <w:rsid w:val="66DC7B4A"/>
    <w:rsid w:val="66DF46C2"/>
    <w:rsid w:val="66E40E13"/>
    <w:rsid w:val="66E85249"/>
    <w:rsid w:val="66EB12C4"/>
    <w:rsid w:val="66F05D75"/>
    <w:rsid w:val="66F14286"/>
    <w:rsid w:val="66F43AE9"/>
    <w:rsid w:val="66FF75FB"/>
    <w:rsid w:val="67097AAA"/>
    <w:rsid w:val="670D1B71"/>
    <w:rsid w:val="67281EC7"/>
    <w:rsid w:val="67344028"/>
    <w:rsid w:val="67392A66"/>
    <w:rsid w:val="674444D9"/>
    <w:rsid w:val="674905AC"/>
    <w:rsid w:val="67496F8C"/>
    <w:rsid w:val="674B0C95"/>
    <w:rsid w:val="675327AE"/>
    <w:rsid w:val="6754488A"/>
    <w:rsid w:val="67556196"/>
    <w:rsid w:val="675B6E55"/>
    <w:rsid w:val="675E5A16"/>
    <w:rsid w:val="675F562E"/>
    <w:rsid w:val="67636AE2"/>
    <w:rsid w:val="67686498"/>
    <w:rsid w:val="676947A2"/>
    <w:rsid w:val="676A3201"/>
    <w:rsid w:val="676E1DA6"/>
    <w:rsid w:val="676F3DA1"/>
    <w:rsid w:val="6770670C"/>
    <w:rsid w:val="677C799E"/>
    <w:rsid w:val="67827DF9"/>
    <w:rsid w:val="67834F83"/>
    <w:rsid w:val="67987A86"/>
    <w:rsid w:val="67990B56"/>
    <w:rsid w:val="67990CAA"/>
    <w:rsid w:val="679B4BE7"/>
    <w:rsid w:val="67A060C7"/>
    <w:rsid w:val="67A454B1"/>
    <w:rsid w:val="67B0143C"/>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F7DB2"/>
    <w:rsid w:val="6830505E"/>
    <w:rsid w:val="6831388B"/>
    <w:rsid w:val="683770B8"/>
    <w:rsid w:val="683965C1"/>
    <w:rsid w:val="683B5DF7"/>
    <w:rsid w:val="683D6F3A"/>
    <w:rsid w:val="68430152"/>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52C8"/>
    <w:rsid w:val="69153A94"/>
    <w:rsid w:val="691A6F97"/>
    <w:rsid w:val="694101FB"/>
    <w:rsid w:val="695529DF"/>
    <w:rsid w:val="69583967"/>
    <w:rsid w:val="695A3922"/>
    <w:rsid w:val="695A42D9"/>
    <w:rsid w:val="69624E8F"/>
    <w:rsid w:val="69637697"/>
    <w:rsid w:val="69717F4D"/>
    <w:rsid w:val="69737A3B"/>
    <w:rsid w:val="69796036"/>
    <w:rsid w:val="697D0F42"/>
    <w:rsid w:val="697E6F24"/>
    <w:rsid w:val="697F230D"/>
    <w:rsid w:val="6983065E"/>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5E00"/>
    <w:rsid w:val="6A193D7A"/>
    <w:rsid w:val="6A2322EE"/>
    <w:rsid w:val="6A257487"/>
    <w:rsid w:val="6A280CE4"/>
    <w:rsid w:val="6A2A5F02"/>
    <w:rsid w:val="6A2F3F03"/>
    <w:rsid w:val="6A3832AF"/>
    <w:rsid w:val="6A3C7CC8"/>
    <w:rsid w:val="6A3F27B9"/>
    <w:rsid w:val="6A404E3D"/>
    <w:rsid w:val="6A410176"/>
    <w:rsid w:val="6A434B44"/>
    <w:rsid w:val="6A4574D8"/>
    <w:rsid w:val="6A605140"/>
    <w:rsid w:val="6A657204"/>
    <w:rsid w:val="6A6A2302"/>
    <w:rsid w:val="6A6D73CE"/>
    <w:rsid w:val="6A8433D2"/>
    <w:rsid w:val="6A863926"/>
    <w:rsid w:val="6A877233"/>
    <w:rsid w:val="6A882ECD"/>
    <w:rsid w:val="6A894FAF"/>
    <w:rsid w:val="6A8C136D"/>
    <w:rsid w:val="6A904C43"/>
    <w:rsid w:val="6A945F52"/>
    <w:rsid w:val="6A9840F9"/>
    <w:rsid w:val="6A9C5E39"/>
    <w:rsid w:val="6AA20740"/>
    <w:rsid w:val="6AAB2C7C"/>
    <w:rsid w:val="6AAD12D9"/>
    <w:rsid w:val="6AB602C2"/>
    <w:rsid w:val="6AB63510"/>
    <w:rsid w:val="6AB943EE"/>
    <w:rsid w:val="6AC032BC"/>
    <w:rsid w:val="6AC8092A"/>
    <w:rsid w:val="6AD06A6E"/>
    <w:rsid w:val="6AD8058D"/>
    <w:rsid w:val="6AE0794B"/>
    <w:rsid w:val="6AE1028F"/>
    <w:rsid w:val="6AE64F06"/>
    <w:rsid w:val="6AF84026"/>
    <w:rsid w:val="6B057C21"/>
    <w:rsid w:val="6B0700FD"/>
    <w:rsid w:val="6B0C3251"/>
    <w:rsid w:val="6B0D7E95"/>
    <w:rsid w:val="6B121070"/>
    <w:rsid w:val="6B241E45"/>
    <w:rsid w:val="6B2647A5"/>
    <w:rsid w:val="6B2A4845"/>
    <w:rsid w:val="6B341C41"/>
    <w:rsid w:val="6B35201A"/>
    <w:rsid w:val="6B4271B9"/>
    <w:rsid w:val="6B484B34"/>
    <w:rsid w:val="6B4C712F"/>
    <w:rsid w:val="6B501AD4"/>
    <w:rsid w:val="6B5743C8"/>
    <w:rsid w:val="6B585012"/>
    <w:rsid w:val="6B6951C4"/>
    <w:rsid w:val="6B6B795B"/>
    <w:rsid w:val="6B6C155B"/>
    <w:rsid w:val="6B6D17D9"/>
    <w:rsid w:val="6B7A615E"/>
    <w:rsid w:val="6B842643"/>
    <w:rsid w:val="6B8E6F7C"/>
    <w:rsid w:val="6B8E767A"/>
    <w:rsid w:val="6B923B2B"/>
    <w:rsid w:val="6B9429D1"/>
    <w:rsid w:val="6B98025A"/>
    <w:rsid w:val="6BA31A09"/>
    <w:rsid w:val="6BA75497"/>
    <w:rsid w:val="6BA9582F"/>
    <w:rsid w:val="6BB176F7"/>
    <w:rsid w:val="6BB17E5A"/>
    <w:rsid w:val="6BB35690"/>
    <w:rsid w:val="6BB74227"/>
    <w:rsid w:val="6BBA66B5"/>
    <w:rsid w:val="6BBA68E4"/>
    <w:rsid w:val="6BBB4885"/>
    <w:rsid w:val="6BBE76E4"/>
    <w:rsid w:val="6BC9376F"/>
    <w:rsid w:val="6BD1009A"/>
    <w:rsid w:val="6BE0639E"/>
    <w:rsid w:val="6BE444FA"/>
    <w:rsid w:val="6BE47E21"/>
    <w:rsid w:val="6BEC66EE"/>
    <w:rsid w:val="6BF07EAA"/>
    <w:rsid w:val="6BF14A0C"/>
    <w:rsid w:val="6BF20FB8"/>
    <w:rsid w:val="6C0537C8"/>
    <w:rsid w:val="6C084114"/>
    <w:rsid w:val="6C093B94"/>
    <w:rsid w:val="6C0F41E1"/>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60C69"/>
    <w:rsid w:val="6CC42698"/>
    <w:rsid w:val="6CC557FD"/>
    <w:rsid w:val="6CC56A9C"/>
    <w:rsid w:val="6CC9612D"/>
    <w:rsid w:val="6CD9239F"/>
    <w:rsid w:val="6CDB1F23"/>
    <w:rsid w:val="6CE33F52"/>
    <w:rsid w:val="6CE3651E"/>
    <w:rsid w:val="6CE425FD"/>
    <w:rsid w:val="6CEC0B1B"/>
    <w:rsid w:val="6CEC3EFD"/>
    <w:rsid w:val="6CED120B"/>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43E51"/>
    <w:rsid w:val="6D9A7415"/>
    <w:rsid w:val="6D9C4BDA"/>
    <w:rsid w:val="6D9F77B2"/>
    <w:rsid w:val="6DA22A3B"/>
    <w:rsid w:val="6DA71CDB"/>
    <w:rsid w:val="6DB43CBF"/>
    <w:rsid w:val="6DB65267"/>
    <w:rsid w:val="6DBE7C28"/>
    <w:rsid w:val="6DC616C6"/>
    <w:rsid w:val="6DC869CE"/>
    <w:rsid w:val="6DC95CAA"/>
    <w:rsid w:val="6DCA662C"/>
    <w:rsid w:val="6DCE70D9"/>
    <w:rsid w:val="6DD54A74"/>
    <w:rsid w:val="6DE512BE"/>
    <w:rsid w:val="6DEA6AB1"/>
    <w:rsid w:val="6DED1851"/>
    <w:rsid w:val="6DF73D6D"/>
    <w:rsid w:val="6DFB5040"/>
    <w:rsid w:val="6DFE1195"/>
    <w:rsid w:val="6DFF0BBF"/>
    <w:rsid w:val="6DFF24B3"/>
    <w:rsid w:val="6E047794"/>
    <w:rsid w:val="6E0B72B9"/>
    <w:rsid w:val="6E0C686E"/>
    <w:rsid w:val="6E1451C2"/>
    <w:rsid w:val="6E162FFC"/>
    <w:rsid w:val="6E2703E9"/>
    <w:rsid w:val="6E2B7861"/>
    <w:rsid w:val="6E2F1A84"/>
    <w:rsid w:val="6E3D153A"/>
    <w:rsid w:val="6E3D457A"/>
    <w:rsid w:val="6E471FA2"/>
    <w:rsid w:val="6E56438B"/>
    <w:rsid w:val="6E566306"/>
    <w:rsid w:val="6E5F53C9"/>
    <w:rsid w:val="6E6B1B2A"/>
    <w:rsid w:val="6E7234C8"/>
    <w:rsid w:val="6E74290C"/>
    <w:rsid w:val="6E775B0D"/>
    <w:rsid w:val="6E7B4978"/>
    <w:rsid w:val="6E7C180A"/>
    <w:rsid w:val="6E8677E9"/>
    <w:rsid w:val="6E871FD2"/>
    <w:rsid w:val="6E8A6695"/>
    <w:rsid w:val="6E8F301E"/>
    <w:rsid w:val="6E8F6DAA"/>
    <w:rsid w:val="6E9060BF"/>
    <w:rsid w:val="6EAE21D1"/>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F00E79"/>
    <w:rsid w:val="6FF15C82"/>
    <w:rsid w:val="6FFD13E7"/>
    <w:rsid w:val="70035B63"/>
    <w:rsid w:val="70084791"/>
    <w:rsid w:val="700B4CC3"/>
    <w:rsid w:val="700E3BD9"/>
    <w:rsid w:val="701B650B"/>
    <w:rsid w:val="70200403"/>
    <w:rsid w:val="70233697"/>
    <w:rsid w:val="702F7F84"/>
    <w:rsid w:val="704622D4"/>
    <w:rsid w:val="70513178"/>
    <w:rsid w:val="70515849"/>
    <w:rsid w:val="705E1C14"/>
    <w:rsid w:val="705E1EC1"/>
    <w:rsid w:val="705F0277"/>
    <w:rsid w:val="7060303C"/>
    <w:rsid w:val="706A1F04"/>
    <w:rsid w:val="706B024D"/>
    <w:rsid w:val="70711F9A"/>
    <w:rsid w:val="70764871"/>
    <w:rsid w:val="707C2F7E"/>
    <w:rsid w:val="7080762B"/>
    <w:rsid w:val="70812330"/>
    <w:rsid w:val="70853B74"/>
    <w:rsid w:val="70971996"/>
    <w:rsid w:val="709A6CCB"/>
    <w:rsid w:val="709E3984"/>
    <w:rsid w:val="70A01528"/>
    <w:rsid w:val="70A45BDD"/>
    <w:rsid w:val="70A535EC"/>
    <w:rsid w:val="70AF24D8"/>
    <w:rsid w:val="70B172B5"/>
    <w:rsid w:val="70B17A12"/>
    <w:rsid w:val="70B41194"/>
    <w:rsid w:val="70BC7B39"/>
    <w:rsid w:val="70C01C60"/>
    <w:rsid w:val="70C14F6B"/>
    <w:rsid w:val="70C17302"/>
    <w:rsid w:val="70DA2493"/>
    <w:rsid w:val="70DC4BC5"/>
    <w:rsid w:val="70F22DF6"/>
    <w:rsid w:val="70F640FE"/>
    <w:rsid w:val="71067CCF"/>
    <w:rsid w:val="710B4A26"/>
    <w:rsid w:val="71101A19"/>
    <w:rsid w:val="711528A0"/>
    <w:rsid w:val="71162D5A"/>
    <w:rsid w:val="711A1C3B"/>
    <w:rsid w:val="711E3A15"/>
    <w:rsid w:val="712C473E"/>
    <w:rsid w:val="71326B1E"/>
    <w:rsid w:val="713A0B5B"/>
    <w:rsid w:val="71452CBD"/>
    <w:rsid w:val="71463FC2"/>
    <w:rsid w:val="7148016B"/>
    <w:rsid w:val="714A084D"/>
    <w:rsid w:val="714D78D3"/>
    <w:rsid w:val="71503CE7"/>
    <w:rsid w:val="71536C22"/>
    <w:rsid w:val="71567F32"/>
    <w:rsid w:val="715E00B3"/>
    <w:rsid w:val="716004C4"/>
    <w:rsid w:val="716242AB"/>
    <w:rsid w:val="716D482E"/>
    <w:rsid w:val="716F72EE"/>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D06B03"/>
    <w:rsid w:val="71D35537"/>
    <w:rsid w:val="71D4164F"/>
    <w:rsid w:val="71DF37B5"/>
    <w:rsid w:val="71E173A1"/>
    <w:rsid w:val="71E34BAA"/>
    <w:rsid w:val="71EA2CE2"/>
    <w:rsid w:val="71EC67B1"/>
    <w:rsid w:val="71ED6ED1"/>
    <w:rsid w:val="71F27146"/>
    <w:rsid w:val="71F433F6"/>
    <w:rsid w:val="71F95325"/>
    <w:rsid w:val="71F95A4D"/>
    <w:rsid w:val="71FA003B"/>
    <w:rsid w:val="71FD1D34"/>
    <w:rsid w:val="71FE2ACC"/>
    <w:rsid w:val="72015588"/>
    <w:rsid w:val="72087B85"/>
    <w:rsid w:val="720F3321"/>
    <w:rsid w:val="72116C3F"/>
    <w:rsid w:val="72191DE7"/>
    <w:rsid w:val="721F2961"/>
    <w:rsid w:val="72212169"/>
    <w:rsid w:val="722B6D3C"/>
    <w:rsid w:val="72314763"/>
    <w:rsid w:val="723A16A4"/>
    <w:rsid w:val="723B0B95"/>
    <w:rsid w:val="723B52B8"/>
    <w:rsid w:val="724A4324"/>
    <w:rsid w:val="724D6F66"/>
    <w:rsid w:val="72522723"/>
    <w:rsid w:val="72526D2A"/>
    <w:rsid w:val="725340BD"/>
    <w:rsid w:val="72542A36"/>
    <w:rsid w:val="72555383"/>
    <w:rsid w:val="725B002B"/>
    <w:rsid w:val="726843AE"/>
    <w:rsid w:val="728A60B0"/>
    <w:rsid w:val="728B69E4"/>
    <w:rsid w:val="729133DE"/>
    <w:rsid w:val="72930D42"/>
    <w:rsid w:val="72956586"/>
    <w:rsid w:val="729F0E66"/>
    <w:rsid w:val="72A31793"/>
    <w:rsid w:val="72A362B4"/>
    <w:rsid w:val="72A74552"/>
    <w:rsid w:val="72A86C15"/>
    <w:rsid w:val="72AF0B6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573A1"/>
    <w:rsid w:val="7301303C"/>
    <w:rsid w:val="73024E04"/>
    <w:rsid w:val="730B0185"/>
    <w:rsid w:val="730B2912"/>
    <w:rsid w:val="73117F42"/>
    <w:rsid w:val="73130C07"/>
    <w:rsid w:val="73266F63"/>
    <w:rsid w:val="732A69D2"/>
    <w:rsid w:val="732E73B4"/>
    <w:rsid w:val="73353A9D"/>
    <w:rsid w:val="733A4AF0"/>
    <w:rsid w:val="733E5133"/>
    <w:rsid w:val="73470963"/>
    <w:rsid w:val="734B783B"/>
    <w:rsid w:val="73606A76"/>
    <w:rsid w:val="73640D2D"/>
    <w:rsid w:val="73664C31"/>
    <w:rsid w:val="736F39A6"/>
    <w:rsid w:val="73803D51"/>
    <w:rsid w:val="73825C14"/>
    <w:rsid w:val="73833688"/>
    <w:rsid w:val="73847541"/>
    <w:rsid w:val="738B78DE"/>
    <w:rsid w:val="738F3A55"/>
    <w:rsid w:val="739942FF"/>
    <w:rsid w:val="73A760F2"/>
    <w:rsid w:val="73B00CC3"/>
    <w:rsid w:val="73BD2509"/>
    <w:rsid w:val="73C55A94"/>
    <w:rsid w:val="73D63DCA"/>
    <w:rsid w:val="73DD45E1"/>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81DB0"/>
    <w:rsid w:val="747C59B7"/>
    <w:rsid w:val="74891CF9"/>
    <w:rsid w:val="748B0C7D"/>
    <w:rsid w:val="74903C13"/>
    <w:rsid w:val="74957A0A"/>
    <w:rsid w:val="74A25A03"/>
    <w:rsid w:val="74AE2C50"/>
    <w:rsid w:val="74AE30E3"/>
    <w:rsid w:val="74AF19B2"/>
    <w:rsid w:val="74B33364"/>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95A90"/>
    <w:rsid w:val="74EA3EB2"/>
    <w:rsid w:val="74EE4294"/>
    <w:rsid w:val="74F07E0A"/>
    <w:rsid w:val="74F95012"/>
    <w:rsid w:val="7502115E"/>
    <w:rsid w:val="75054738"/>
    <w:rsid w:val="750842CC"/>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5530"/>
    <w:rsid w:val="75E376A3"/>
    <w:rsid w:val="75E82B30"/>
    <w:rsid w:val="75ED5A36"/>
    <w:rsid w:val="75FB7495"/>
    <w:rsid w:val="75FC7D3B"/>
    <w:rsid w:val="75FE31D9"/>
    <w:rsid w:val="75FF0133"/>
    <w:rsid w:val="76003A09"/>
    <w:rsid w:val="760231B5"/>
    <w:rsid w:val="76036560"/>
    <w:rsid w:val="760A687D"/>
    <w:rsid w:val="761025FD"/>
    <w:rsid w:val="76130B75"/>
    <w:rsid w:val="76192FD7"/>
    <w:rsid w:val="7619484E"/>
    <w:rsid w:val="761B102B"/>
    <w:rsid w:val="762012F3"/>
    <w:rsid w:val="762F067E"/>
    <w:rsid w:val="76322CE8"/>
    <w:rsid w:val="763B0284"/>
    <w:rsid w:val="764833C3"/>
    <w:rsid w:val="764B7C87"/>
    <w:rsid w:val="764E6C91"/>
    <w:rsid w:val="765233FB"/>
    <w:rsid w:val="7659095E"/>
    <w:rsid w:val="765A2E54"/>
    <w:rsid w:val="765C20F6"/>
    <w:rsid w:val="7669425E"/>
    <w:rsid w:val="766B3DFC"/>
    <w:rsid w:val="76710E80"/>
    <w:rsid w:val="767E302B"/>
    <w:rsid w:val="768542F9"/>
    <w:rsid w:val="769016B8"/>
    <w:rsid w:val="76932345"/>
    <w:rsid w:val="769F0579"/>
    <w:rsid w:val="76A35D52"/>
    <w:rsid w:val="76A5622D"/>
    <w:rsid w:val="76A633ED"/>
    <w:rsid w:val="76AB5F51"/>
    <w:rsid w:val="76B02504"/>
    <w:rsid w:val="76B576A3"/>
    <w:rsid w:val="76C428B5"/>
    <w:rsid w:val="76C87FBA"/>
    <w:rsid w:val="76D03D47"/>
    <w:rsid w:val="76D16B19"/>
    <w:rsid w:val="76D723E3"/>
    <w:rsid w:val="76DB3BA3"/>
    <w:rsid w:val="76E02C24"/>
    <w:rsid w:val="76E34A56"/>
    <w:rsid w:val="76E56D71"/>
    <w:rsid w:val="76E6140A"/>
    <w:rsid w:val="76ED7808"/>
    <w:rsid w:val="76F41B95"/>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3244"/>
    <w:rsid w:val="77443794"/>
    <w:rsid w:val="77453002"/>
    <w:rsid w:val="77492C03"/>
    <w:rsid w:val="774F423A"/>
    <w:rsid w:val="774F7910"/>
    <w:rsid w:val="7756714D"/>
    <w:rsid w:val="77597E3E"/>
    <w:rsid w:val="77625740"/>
    <w:rsid w:val="7769549F"/>
    <w:rsid w:val="7770508C"/>
    <w:rsid w:val="777C4D24"/>
    <w:rsid w:val="778807C6"/>
    <w:rsid w:val="77883832"/>
    <w:rsid w:val="7789361D"/>
    <w:rsid w:val="778D3458"/>
    <w:rsid w:val="77905FA2"/>
    <w:rsid w:val="779B34EE"/>
    <w:rsid w:val="77A6008A"/>
    <w:rsid w:val="77A9111A"/>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842FF3"/>
    <w:rsid w:val="7889168E"/>
    <w:rsid w:val="78932A56"/>
    <w:rsid w:val="78957160"/>
    <w:rsid w:val="7897387D"/>
    <w:rsid w:val="78996993"/>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9001ACD"/>
    <w:rsid w:val="79076642"/>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621D6"/>
    <w:rsid w:val="794A6843"/>
    <w:rsid w:val="795134B6"/>
    <w:rsid w:val="795E06F8"/>
    <w:rsid w:val="795E094E"/>
    <w:rsid w:val="795E35AB"/>
    <w:rsid w:val="79620926"/>
    <w:rsid w:val="79681A85"/>
    <w:rsid w:val="79725241"/>
    <w:rsid w:val="79732E77"/>
    <w:rsid w:val="79736CFC"/>
    <w:rsid w:val="79740FDB"/>
    <w:rsid w:val="79743161"/>
    <w:rsid w:val="798B0BA1"/>
    <w:rsid w:val="799538B1"/>
    <w:rsid w:val="799C771D"/>
    <w:rsid w:val="799F269A"/>
    <w:rsid w:val="79A51DD5"/>
    <w:rsid w:val="79A85B1D"/>
    <w:rsid w:val="79B27C4C"/>
    <w:rsid w:val="79B44F8C"/>
    <w:rsid w:val="79BA2167"/>
    <w:rsid w:val="79BD6F74"/>
    <w:rsid w:val="79BF551C"/>
    <w:rsid w:val="79C634A3"/>
    <w:rsid w:val="79C723A4"/>
    <w:rsid w:val="79C74587"/>
    <w:rsid w:val="79CA3BEB"/>
    <w:rsid w:val="79DF3AB5"/>
    <w:rsid w:val="79F000FA"/>
    <w:rsid w:val="79F778C7"/>
    <w:rsid w:val="79FD0561"/>
    <w:rsid w:val="79FE51D4"/>
    <w:rsid w:val="7A032AFE"/>
    <w:rsid w:val="7A040ABA"/>
    <w:rsid w:val="7A0419AF"/>
    <w:rsid w:val="7A082751"/>
    <w:rsid w:val="7A0D5316"/>
    <w:rsid w:val="7A11253B"/>
    <w:rsid w:val="7A193AE2"/>
    <w:rsid w:val="7A1B5E2F"/>
    <w:rsid w:val="7A217A72"/>
    <w:rsid w:val="7A271139"/>
    <w:rsid w:val="7A2A7675"/>
    <w:rsid w:val="7A387FFB"/>
    <w:rsid w:val="7A3E47B4"/>
    <w:rsid w:val="7A3F1642"/>
    <w:rsid w:val="7A522AD8"/>
    <w:rsid w:val="7A541CDF"/>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86E23"/>
    <w:rsid w:val="7A9E48D6"/>
    <w:rsid w:val="7AAA7146"/>
    <w:rsid w:val="7AAC5FCE"/>
    <w:rsid w:val="7AB01B53"/>
    <w:rsid w:val="7AB02E81"/>
    <w:rsid w:val="7AB15233"/>
    <w:rsid w:val="7AB23B17"/>
    <w:rsid w:val="7AB53955"/>
    <w:rsid w:val="7AB546E6"/>
    <w:rsid w:val="7AB67A58"/>
    <w:rsid w:val="7ABD44B1"/>
    <w:rsid w:val="7AC21F5F"/>
    <w:rsid w:val="7AC33BB3"/>
    <w:rsid w:val="7AC4137C"/>
    <w:rsid w:val="7AC66B15"/>
    <w:rsid w:val="7AC94F89"/>
    <w:rsid w:val="7ACD4707"/>
    <w:rsid w:val="7ACF2853"/>
    <w:rsid w:val="7AD401E0"/>
    <w:rsid w:val="7AD708B3"/>
    <w:rsid w:val="7AD75770"/>
    <w:rsid w:val="7AD85698"/>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B4A95"/>
    <w:rsid w:val="7B5B06E6"/>
    <w:rsid w:val="7B61362C"/>
    <w:rsid w:val="7B7501AD"/>
    <w:rsid w:val="7B78034A"/>
    <w:rsid w:val="7B8D7752"/>
    <w:rsid w:val="7B8E37DE"/>
    <w:rsid w:val="7B8F47C7"/>
    <w:rsid w:val="7B914B96"/>
    <w:rsid w:val="7B927B14"/>
    <w:rsid w:val="7B950516"/>
    <w:rsid w:val="7B9567A9"/>
    <w:rsid w:val="7B9A7554"/>
    <w:rsid w:val="7B9E2E81"/>
    <w:rsid w:val="7BAB4D2A"/>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61E0D"/>
    <w:rsid w:val="7BF767B2"/>
    <w:rsid w:val="7C0049AF"/>
    <w:rsid w:val="7C034052"/>
    <w:rsid w:val="7C037B02"/>
    <w:rsid w:val="7C0865E1"/>
    <w:rsid w:val="7C0A1089"/>
    <w:rsid w:val="7C0C662D"/>
    <w:rsid w:val="7C0E626D"/>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473C"/>
    <w:rsid w:val="7C6F0C97"/>
    <w:rsid w:val="7C7147EA"/>
    <w:rsid w:val="7C746B62"/>
    <w:rsid w:val="7C7C3178"/>
    <w:rsid w:val="7C7E4097"/>
    <w:rsid w:val="7C7F218D"/>
    <w:rsid w:val="7C8B4BD5"/>
    <w:rsid w:val="7C997B87"/>
    <w:rsid w:val="7CA302E7"/>
    <w:rsid w:val="7CB55EE5"/>
    <w:rsid w:val="7CB93D1E"/>
    <w:rsid w:val="7CBC4622"/>
    <w:rsid w:val="7CBD1EA8"/>
    <w:rsid w:val="7CC64DC3"/>
    <w:rsid w:val="7CD070AA"/>
    <w:rsid w:val="7CD215D3"/>
    <w:rsid w:val="7CD258A4"/>
    <w:rsid w:val="7CF82FD7"/>
    <w:rsid w:val="7CF962FF"/>
    <w:rsid w:val="7CF97B72"/>
    <w:rsid w:val="7D003EBD"/>
    <w:rsid w:val="7D062AC2"/>
    <w:rsid w:val="7D114EC3"/>
    <w:rsid w:val="7D11738B"/>
    <w:rsid w:val="7D130380"/>
    <w:rsid w:val="7D152E85"/>
    <w:rsid w:val="7D18676F"/>
    <w:rsid w:val="7D1D06F9"/>
    <w:rsid w:val="7D1E7F20"/>
    <w:rsid w:val="7D2174C4"/>
    <w:rsid w:val="7D2A532B"/>
    <w:rsid w:val="7D2F0219"/>
    <w:rsid w:val="7D303C80"/>
    <w:rsid w:val="7D341BC8"/>
    <w:rsid w:val="7D405AA6"/>
    <w:rsid w:val="7D436EF5"/>
    <w:rsid w:val="7D4C7CE9"/>
    <w:rsid w:val="7D512D55"/>
    <w:rsid w:val="7D5709AE"/>
    <w:rsid w:val="7D5E2E71"/>
    <w:rsid w:val="7D6940E5"/>
    <w:rsid w:val="7D6F5BF1"/>
    <w:rsid w:val="7D7D670C"/>
    <w:rsid w:val="7D855A63"/>
    <w:rsid w:val="7D876E57"/>
    <w:rsid w:val="7D8B3828"/>
    <w:rsid w:val="7D8F2AC0"/>
    <w:rsid w:val="7D976231"/>
    <w:rsid w:val="7D97639E"/>
    <w:rsid w:val="7D9C3DFE"/>
    <w:rsid w:val="7D9D4392"/>
    <w:rsid w:val="7DA4255A"/>
    <w:rsid w:val="7DA74CE2"/>
    <w:rsid w:val="7DAC5BC5"/>
    <w:rsid w:val="7DAE55D4"/>
    <w:rsid w:val="7DC55AE8"/>
    <w:rsid w:val="7DC932A8"/>
    <w:rsid w:val="7DCE7A95"/>
    <w:rsid w:val="7DD85DBE"/>
    <w:rsid w:val="7DDA4118"/>
    <w:rsid w:val="7DE750D0"/>
    <w:rsid w:val="7DE8415F"/>
    <w:rsid w:val="7DF742E6"/>
    <w:rsid w:val="7DFC489D"/>
    <w:rsid w:val="7E0E68FC"/>
    <w:rsid w:val="7E0F3EA6"/>
    <w:rsid w:val="7E1246DB"/>
    <w:rsid w:val="7E165F0E"/>
    <w:rsid w:val="7E1D0F6C"/>
    <w:rsid w:val="7E20169A"/>
    <w:rsid w:val="7E274023"/>
    <w:rsid w:val="7E2B327F"/>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B5212"/>
    <w:rsid w:val="7E8B5C41"/>
    <w:rsid w:val="7E8C0FAB"/>
    <w:rsid w:val="7E8E63BD"/>
    <w:rsid w:val="7E971EC6"/>
    <w:rsid w:val="7E986288"/>
    <w:rsid w:val="7E997CE1"/>
    <w:rsid w:val="7EA43F40"/>
    <w:rsid w:val="7EA666C5"/>
    <w:rsid w:val="7EAE2D53"/>
    <w:rsid w:val="7EB22177"/>
    <w:rsid w:val="7EB7057B"/>
    <w:rsid w:val="7EB913D1"/>
    <w:rsid w:val="7EC10E27"/>
    <w:rsid w:val="7EC92461"/>
    <w:rsid w:val="7ECD65C3"/>
    <w:rsid w:val="7ED7579C"/>
    <w:rsid w:val="7ED91764"/>
    <w:rsid w:val="7ED92D9B"/>
    <w:rsid w:val="7EDB6324"/>
    <w:rsid w:val="7EE06063"/>
    <w:rsid w:val="7EE32EA1"/>
    <w:rsid w:val="7EE85E1A"/>
    <w:rsid w:val="7EE9267A"/>
    <w:rsid w:val="7EFD09E8"/>
    <w:rsid w:val="7EFE452B"/>
    <w:rsid w:val="7F032E41"/>
    <w:rsid w:val="7F042CED"/>
    <w:rsid w:val="7F054619"/>
    <w:rsid w:val="7F0B3EAA"/>
    <w:rsid w:val="7F1026DA"/>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D3C21"/>
    <w:rsid w:val="7FB24452"/>
    <w:rsid w:val="7FBA238A"/>
    <w:rsid w:val="7FBA548C"/>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0"/>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0"/>
    <w:qFormat/>
    <w:uiPriority w:val="0"/>
    <w:pPr>
      <w:keepNext/>
      <w:keepLines/>
      <w:spacing w:before="260" w:after="260" w:line="416" w:lineRule="auto"/>
      <w:outlineLvl w:val="1"/>
    </w:pPr>
    <w:rPr>
      <w:rFonts w:ascii="Cambria" w:hAnsi="Cambria"/>
      <w:sz w:val="32"/>
      <w:szCs w:val="32"/>
    </w:rPr>
  </w:style>
  <w:style w:type="paragraph" w:styleId="4">
    <w:name w:val="heading 3"/>
    <w:basedOn w:val="3"/>
    <w:next w:val="1"/>
    <w:link w:val="41"/>
    <w:unhideWhenUsed/>
    <w:qFormat/>
    <w:uiPriority w:val="9"/>
    <w:pPr>
      <w:outlineLvl w:val="2"/>
    </w:pPr>
  </w:style>
  <w:style w:type="paragraph" w:styleId="5">
    <w:name w:val="heading 4"/>
    <w:basedOn w:val="4"/>
    <w:next w:val="1"/>
    <w:link w:val="60"/>
    <w:qFormat/>
    <w:uiPriority w:val="0"/>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6">
    <w:name w:val="heading 5"/>
    <w:basedOn w:val="5"/>
    <w:next w:val="1"/>
    <w:link w:val="61"/>
    <w:qFormat/>
    <w:uiPriority w:val="0"/>
    <w:pPr>
      <w:spacing w:beforeLines="50"/>
      <w:ind w:left="718" w:hanging="576"/>
      <w:outlineLvl w:val="4"/>
    </w:pPr>
    <w:rPr>
      <w:sz w:val="24"/>
      <w:szCs w:val="24"/>
    </w:rPr>
  </w:style>
  <w:style w:type="character" w:default="1" w:styleId="25">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7">
    <w:name w:val="List 3"/>
    <w:basedOn w:val="1"/>
    <w:unhideWhenUsed/>
    <w:qFormat/>
    <w:uiPriority w:val="99"/>
    <w:pPr>
      <w:ind w:left="100" w:leftChars="400" w:hanging="200" w:hangingChars="200"/>
      <w:contextualSpacing/>
    </w:pPr>
  </w:style>
  <w:style w:type="paragraph" w:styleId="8">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9">
    <w:name w:val="caption"/>
    <w:basedOn w:val="1"/>
    <w:next w:val="1"/>
    <w:link w:val="37"/>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0">
    <w:name w:val="Document Map"/>
    <w:basedOn w:val="1"/>
    <w:link w:val="35"/>
    <w:unhideWhenUsed/>
    <w:qFormat/>
    <w:uiPriority w:val="99"/>
    <w:rPr>
      <w:rFonts w:ascii="宋体"/>
      <w:sz w:val="18"/>
      <w:szCs w:val="18"/>
    </w:rPr>
  </w:style>
  <w:style w:type="paragraph" w:styleId="11">
    <w:name w:val="annotation text"/>
    <w:basedOn w:val="1"/>
    <w:link w:val="33"/>
    <w:unhideWhenUsed/>
    <w:qFormat/>
    <w:uiPriority w:val="99"/>
    <w:rPr>
      <w:sz w:val="20"/>
      <w:szCs w:val="20"/>
    </w:rPr>
  </w:style>
  <w:style w:type="paragraph" w:styleId="12">
    <w:name w:val="Body Text"/>
    <w:basedOn w:val="1"/>
    <w:link w:val="36"/>
    <w:qFormat/>
    <w:uiPriority w:val="0"/>
    <w:pPr>
      <w:widowControl w:val="0"/>
      <w:spacing w:after="0" w:line="240" w:lineRule="auto"/>
      <w:jc w:val="both"/>
    </w:pPr>
    <w:rPr>
      <w:rFonts w:ascii="Times New Roman" w:hAnsi="Times New Roman"/>
      <w:color w:val="0000FF"/>
      <w:kern w:val="2"/>
      <w:sz w:val="21"/>
      <w:szCs w:val="20"/>
    </w:rPr>
  </w:style>
  <w:style w:type="paragraph" w:styleId="13">
    <w:name w:val="Body Text Indent"/>
    <w:basedOn w:val="1"/>
    <w:link w:val="68"/>
    <w:unhideWhenUsed/>
    <w:qFormat/>
    <w:uiPriority w:val="99"/>
    <w:pPr>
      <w:spacing w:after="120"/>
      <w:ind w:left="360"/>
    </w:pPr>
  </w:style>
  <w:style w:type="paragraph" w:styleId="14">
    <w:name w:val="List 2"/>
    <w:basedOn w:val="15"/>
    <w:unhideWhenUsed/>
    <w:qFormat/>
    <w:uiPriority w:val="99"/>
    <w:pPr>
      <w:ind w:left="100" w:leftChars="200" w:hanging="200" w:hangingChars="200"/>
      <w:contextualSpacing/>
    </w:pPr>
  </w:style>
  <w:style w:type="paragraph" w:styleId="15">
    <w:name w:val="List"/>
    <w:basedOn w:val="1"/>
    <w:unhideWhenUsed/>
    <w:qFormat/>
    <w:uiPriority w:val="99"/>
    <w:pPr>
      <w:ind w:left="568" w:hanging="284"/>
    </w:pPr>
  </w:style>
  <w:style w:type="paragraph" w:styleId="16">
    <w:name w:val="Plain Text"/>
    <w:basedOn w:val="1"/>
    <w:link w:val="54"/>
    <w:unhideWhenUsed/>
    <w:qFormat/>
    <w:uiPriority w:val="99"/>
    <w:pPr>
      <w:spacing w:after="0" w:line="240" w:lineRule="auto"/>
    </w:pPr>
    <w:rPr>
      <w:rFonts w:eastAsia="Calibri"/>
      <w:szCs w:val="21"/>
      <w:lang w:val="en-GB" w:eastAsia="en-US"/>
    </w:rPr>
  </w:style>
  <w:style w:type="paragraph" w:styleId="17">
    <w:name w:val="Date"/>
    <w:basedOn w:val="1"/>
    <w:next w:val="1"/>
    <w:link w:val="48"/>
    <w:unhideWhenUsed/>
    <w:qFormat/>
    <w:uiPriority w:val="99"/>
    <w:pPr>
      <w:ind w:left="100" w:leftChars="2500"/>
    </w:pPr>
  </w:style>
  <w:style w:type="paragraph" w:styleId="18">
    <w:name w:val="Balloon Text"/>
    <w:basedOn w:val="1"/>
    <w:link w:val="29"/>
    <w:unhideWhenUsed/>
    <w:qFormat/>
    <w:uiPriority w:val="99"/>
    <w:pPr>
      <w:spacing w:after="0" w:line="240" w:lineRule="auto"/>
    </w:pPr>
    <w:rPr>
      <w:rFonts w:ascii="Tahoma" w:hAnsi="Tahoma"/>
      <w:sz w:val="16"/>
      <w:szCs w:val="16"/>
    </w:rPr>
  </w:style>
  <w:style w:type="paragraph" w:styleId="19">
    <w:name w:val="footer"/>
    <w:basedOn w:val="1"/>
    <w:link w:val="39"/>
    <w:unhideWhenUsed/>
    <w:qFormat/>
    <w:uiPriority w:val="99"/>
    <w:pPr>
      <w:tabs>
        <w:tab w:val="center" w:pos="4153"/>
        <w:tab w:val="right" w:pos="8306"/>
      </w:tabs>
      <w:snapToGrid w:val="0"/>
      <w:spacing w:line="240" w:lineRule="auto"/>
    </w:pPr>
    <w:rPr>
      <w:sz w:val="18"/>
      <w:szCs w:val="18"/>
    </w:rPr>
  </w:style>
  <w:style w:type="paragraph" w:styleId="20">
    <w:name w:val="header"/>
    <w:basedOn w:val="1"/>
    <w:link w:val="31"/>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1">
    <w:name w:val="Normal (Web)"/>
    <w:basedOn w:val="1"/>
    <w:unhideWhenUsed/>
    <w:qFormat/>
    <w:uiPriority w:val="99"/>
    <w:pPr>
      <w:spacing w:after="0" w:line="240" w:lineRule="auto"/>
    </w:pPr>
    <w:rPr>
      <w:rFonts w:ascii="宋体" w:hAnsi="宋体" w:cs="宋体"/>
      <w:sz w:val="24"/>
      <w:szCs w:val="24"/>
    </w:rPr>
  </w:style>
  <w:style w:type="paragraph" w:styleId="22">
    <w:name w:val="annotation subject"/>
    <w:basedOn w:val="11"/>
    <w:next w:val="11"/>
    <w:link w:val="34"/>
    <w:unhideWhenUsed/>
    <w:qFormat/>
    <w:uiPriority w:val="99"/>
    <w:rPr>
      <w:b/>
      <w:bCs/>
    </w:rPr>
  </w:style>
  <w:style w:type="table" w:styleId="24">
    <w:name w:val="Table Grid"/>
    <w:basedOn w:val="23"/>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6">
    <w:name w:val="page number"/>
    <w:basedOn w:val="25"/>
    <w:unhideWhenUsed/>
    <w:qFormat/>
    <w:uiPriority w:val="99"/>
    <w:rPr>
      <w:rFonts w:hint="default"/>
      <w:sz w:val="24"/>
    </w:rPr>
  </w:style>
  <w:style w:type="character" w:styleId="27">
    <w:name w:val="Hyperlink"/>
    <w:unhideWhenUsed/>
    <w:qFormat/>
    <w:uiPriority w:val="99"/>
    <w:rPr>
      <w:color w:val="0000FF"/>
      <w:u w:val="single"/>
    </w:rPr>
  </w:style>
  <w:style w:type="character" w:styleId="28">
    <w:name w:val="annotation reference"/>
    <w:unhideWhenUsed/>
    <w:qFormat/>
    <w:uiPriority w:val="99"/>
    <w:rPr>
      <w:sz w:val="16"/>
      <w:szCs w:val="16"/>
    </w:rPr>
  </w:style>
  <w:style w:type="character" w:customStyle="1" w:styleId="29">
    <w:name w:val="批注框文本 Char"/>
    <w:link w:val="18"/>
    <w:semiHidden/>
    <w:qFormat/>
    <w:uiPriority w:val="99"/>
    <w:rPr>
      <w:rFonts w:ascii="Tahoma" w:hAnsi="Tahoma" w:cs="Tahoma"/>
      <w:sz w:val="16"/>
      <w:szCs w:val="16"/>
    </w:rPr>
  </w:style>
  <w:style w:type="character" w:customStyle="1" w:styleId="30">
    <w:name w:val="标题 1 Char"/>
    <w:link w:val="2"/>
    <w:qFormat/>
    <w:uiPriority w:val="99"/>
    <w:rPr>
      <w:rFonts w:ascii="Arial" w:hAnsi="Arial" w:eastAsia="黑体"/>
      <w:b/>
      <w:bCs/>
      <w:sz w:val="30"/>
      <w:szCs w:val="30"/>
      <w:lang w:val="zh-CN" w:eastAsia="zh-CN"/>
    </w:rPr>
  </w:style>
  <w:style w:type="character" w:customStyle="1" w:styleId="31">
    <w:name w:val="页眉 Char"/>
    <w:link w:val="20"/>
    <w:qFormat/>
    <w:uiPriority w:val="99"/>
    <w:rPr>
      <w:rFonts w:ascii="Arial" w:hAnsi="Arial" w:eastAsia="MS Mincho"/>
      <w:b/>
      <w:szCs w:val="24"/>
      <w:lang w:eastAsia="en-US"/>
    </w:rPr>
  </w:style>
  <w:style w:type="paragraph" w:customStyle="1" w:styleId="32">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3">
    <w:name w:val="批注文字 Char"/>
    <w:basedOn w:val="25"/>
    <w:link w:val="11"/>
    <w:qFormat/>
    <w:uiPriority w:val="99"/>
  </w:style>
  <w:style w:type="character" w:customStyle="1" w:styleId="34">
    <w:name w:val="批注主题 Char"/>
    <w:link w:val="22"/>
    <w:semiHidden/>
    <w:qFormat/>
    <w:uiPriority w:val="99"/>
    <w:rPr>
      <w:b/>
      <w:bCs/>
    </w:rPr>
  </w:style>
  <w:style w:type="character" w:customStyle="1" w:styleId="35">
    <w:name w:val="文档结构图 Char"/>
    <w:link w:val="10"/>
    <w:semiHidden/>
    <w:qFormat/>
    <w:uiPriority w:val="99"/>
    <w:rPr>
      <w:rFonts w:ascii="宋体"/>
      <w:sz w:val="18"/>
      <w:szCs w:val="18"/>
    </w:rPr>
  </w:style>
  <w:style w:type="character" w:customStyle="1" w:styleId="36">
    <w:name w:val="正文文本 Char"/>
    <w:link w:val="12"/>
    <w:qFormat/>
    <w:uiPriority w:val="0"/>
    <w:rPr>
      <w:rFonts w:ascii="Times New Roman" w:hAnsi="Times New Roman"/>
      <w:color w:val="0000FF"/>
      <w:kern w:val="2"/>
      <w:sz w:val="21"/>
    </w:rPr>
  </w:style>
  <w:style w:type="character" w:customStyle="1" w:styleId="37">
    <w:name w:val="题注 Char"/>
    <w:link w:val="9"/>
    <w:qFormat/>
    <w:uiPriority w:val="0"/>
    <w:rPr>
      <w:rFonts w:ascii="Times New Roman" w:hAnsi="Times New Roman"/>
      <w:b/>
      <w:bCs/>
      <w:lang w:val="en-GB" w:eastAsia="sv-SE"/>
    </w:rPr>
  </w:style>
  <w:style w:type="paragraph" w:customStyle="1" w:styleId="38">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39">
    <w:name w:val="页脚 Char"/>
    <w:link w:val="19"/>
    <w:qFormat/>
    <w:uiPriority w:val="99"/>
    <w:rPr>
      <w:sz w:val="18"/>
      <w:szCs w:val="18"/>
    </w:rPr>
  </w:style>
  <w:style w:type="character" w:customStyle="1" w:styleId="40">
    <w:name w:val="标题 2 Char"/>
    <w:link w:val="3"/>
    <w:qFormat/>
    <w:uiPriority w:val="0"/>
    <w:rPr>
      <w:rFonts w:ascii="Cambria" w:hAnsi="Cambria"/>
      <w:b/>
      <w:bCs/>
      <w:sz w:val="32"/>
      <w:szCs w:val="32"/>
      <w:lang w:val="en-US" w:eastAsia="zh-CN"/>
    </w:rPr>
  </w:style>
  <w:style w:type="character" w:customStyle="1" w:styleId="41">
    <w:name w:val="标题 3 Char"/>
    <w:link w:val="4"/>
    <w:semiHidden/>
    <w:qFormat/>
    <w:uiPriority w:val="9"/>
    <w:rPr>
      <w:b/>
      <w:bCs/>
      <w:sz w:val="32"/>
      <w:szCs w:val="32"/>
    </w:rPr>
  </w:style>
  <w:style w:type="paragraph" w:customStyle="1" w:styleId="42">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3">
    <w:name w:val="z-Top of Form1"/>
    <w:basedOn w:val="1"/>
    <w:next w:val="1"/>
    <w:link w:val="44"/>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4">
    <w:name w:val="z-窗体顶端 Char"/>
    <w:link w:val="43"/>
    <w:semiHidden/>
    <w:qFormat/>
    <w:uiPriority w:val="99"/>
    <w:rPr>
      <w:rFonts w:ascii="Arial" w:hAnsi="Arial" w:cs="Arial"/>
      <w:vanish/>
      <w:sz w:val="16"/>
      <w:szCs w:val="16"/>
    </w:rPr>
  </w:style>
  <w:style w:type="character" w:customStyle="1" w:styleId="45">
    <w:name w:val="hps"/>
    <w:basedOn w:val="25"/>
    <w:qFormat/>
    <w:uiPriority w:val="0"/>
  </w:style>
  <w:style w:type="paragraph" w:customStyle="1" w:styleId="46">
    <w:name w:val="z-Bottom of Form1"/>
    <w:basedOn w:val="1"/>
    <w:next w:val="1"/>
    <w:link w:val="47"/>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47">
    <w:name w:val="z-窗体底端 Char"/>
    <w:link w:val="46"/>
    <w:semiHidden/>
    <w:qFormat/>
    <w:uiPriority w:val="99"/>
    <w:rPr>
      <w:rFonts w:ascii="Arial" w:hAnsi="Arial" w:cs="Arial"/>
      <w:vanish/>
      <w:sz w:val="16"/>
      <w:szCs w:val="16"/>
    </w:rPr>
  </w:style>
  <w:style w:type="character" w:customStyle="1" w:styleId="48">
    <w:name w:val="日期 Char"/>
    <w:link w:val="17"/>
    <w:semiHidden/>
    <w:qFormat/>
    <w:uiPriority w:val="99"/>
    <w:rPr>
      <w:sz w:val="22"/>
      <w:szCs w:val="22"/>
    </w:rPr>
  </w:style>
  <w:style w:type="paragraph" w:customStyle="1" w:styleId="49">
    <w:name w:val="List Paragraph1"/>
    <w:basedOn w:val="1"/>
    <w:link w:val="63"/>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0">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1">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2">
    <w:name w:val="short_text"/>
    <w:basedOn w:val="25"/>
    <w:qFormat/>
    <w:uiPriority w:val="0"/>
  </w:style>
  <w:style w:type="paragraph" w:customStyle="1" w:styleId="53">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4">
    <w:name w:val="纯文本 Char"/>
    <w:link w:val="16"/>
    <w:qFormat/>
    <w:uiPriority w:val="99"/>
    <w:rPr>
      <w:rFonts w:eastAsia="Calibri"/>
      <w:sz w:val="22"/>
      <w:szCs w:val="21"/>
      <w:lang w:val="en-GB" w:eastAsia="en-US"/>
    </w:rPr>
  </w:style>
  <w:style w:type="paragraph" w:customStyle="1" w:styleId="55">
    <w:name w:val="TAH"/>
    <w:basedOn w:val="56"/>
    <w:link w:val="76"/>
    <w:qFormat/>
    <w:uiPriority w:val="0"/>
    <w:rPr>
      <w:b/>
    </w:rPr>
  </w:style>
  <w:style w:type="paragraph" w:customStyle="1" w:styleId="56">
    <w:name w:val="TAC"/>
    <w:basedOn w:val="57"/>
    <w:qFormat/>
    <w:uiPriority w:val="0"/>
    <w:pPr>
      <w:spacing w:line="240" w:lineRule="auto"/>
      <w:jc w:val="center"/>
    </w:pPr>
    <w:rPr>
      <w:szCs w:val="20"/>
      <w:lang w:val="en-GB" w:eastAsia="en-US"/>
    </w:rPr>
  </w:style>
  <w:style w:type="paragraph" w:customStyle="1" w:styleId="57">
    <w:name w:val="TAL"/>
    <w:basedOn w:val="1"/>
    <w:qFormat/>
    <w:uiPriority w:val="0"/>
    <w:pPr>
      <w:keepNext/>
      <w:keepLines/>
      <w:spacing w:after="0"/>
    </w:pPr>
    <w:rPr>
      <w:rFonts w:ascii="Arial" w:hAnsi="Arial"/>
      <w:sz w:val="18"/>
    </w:rPr>
  </w:style>
  <w:style w:type="paragraph" w:customStyle="1" w:styleId="58">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59">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0">
    <w:name w:val="标题 4 Char"/>
    <w:link w:val="5"/>
    <w:qFormat/>
    <w:uiPriority w:val="0"/>
    <w:rPr>
      <w:rFonts w:ascii="Times New Roman" w:hAnsi="Times New Roman"/>
      <w:b/>
      <w:sz w:val="28"/>
      <w:szCs w:val="28"/>
      <w:lang w:val="en-GB"/>
    </w:rPr>
  </w:style>
  <w:style w:type="character" w:customStyle="1" w:styleId="61">
    <w:name w:val="标题 5 Char"/>
    <w:link w:val="6"/>
    <w:qFormat/>
    <w:uiPriority w:val="0"/>
    <w:rPr>
      <w:rFonts w:ascii="Times New Roman" w:hAnsi="Times New Roman"/>
      <w:b/>
      <w:sz w:val="24"/>
      <w:szCs w:val="24"/>
      <w:lang w:val="en-GB"/>
    </w:rPr>
  </w:style>
  <w:style w:type="character" w:customStyle="1" w:styleId="62">
    <w:name w:val="apple-converted-space"/>
    <w:basedOn w:val="25"/>
    <w:qFormat/>
    <w:uiPriority w:val="0"/>
  </w:style>
  <w:style w:type="character" w:customStyle="1" w:styleId="63">
    <w:name w:val="列出段落 Char"/>
    <w:link w:val="49"/>
    <w:qFormat/>
    <w:locked/>
    <w:uiPriority w:val="34"/>
    <w:rPr>
      <w:rFonts w:ascii="Times New Roman" w:hAnsi="Times New Roman"/>
      <w:kern w:val="2"/>
      <w:sz w:val="21"/>
      <w:szCs w:val="24"/>
    </w:rPr>
  </w:style>
  <w:style w:type="character" w:customStyle="1" w:styleId="64">
    <w:name w:val="keyword"/>
    <w:basedOn w:val="25"/>
    <w:qFormat/>
    <w:uiPriority w:val="0"/>
  </w:style>
  <w:style w:type="paragraph" w:customStyle="1" w:styleId="65">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66">
    <w:name w:val="Doc-text2"/>
    <w:basedOn w:val="1"/>
    <w:link w:val="67"/>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67">
    <w:name w:val="Doc-text2 Char"/>
    <w:link w:val="66"/>
    <w:qFormat/>
    <w:uiPriority w:val="0"/>
    <w:rPr>
      <w:rFonts w:ascii="Arial" w:hAnsi="Arial" w:eastAsia="MS Mincho"/>
      <w:szCs w:val="24"/>
      <w:lang w:val="en-GB" w:eastAsia="en-GB"/>
    </w:rPr>
  </w:style>
  <w:style w:type="character" w:customStyle="1" w:styleId="68">
    <w:name w:val="正文文本缩进 Char"/>
    <w:basedOn w:val="25"/>
    <w:link w:val="13"/>
    <w:semiHidden/>
    <w:qFormat/>
    <w:uiPriority w:val="99"/>
    <w:rPr>
      <w:sz w:val="22"/>
      <w:szCs w:val="22"/>
    </w:rPr>
  </w:style>
  <w:style w:type="paragraph" w:customStyle="1" w:styleId="69">
    <w:name w:val="main text"/>
    <w:basedOn w:val="1"/>
    <w:link w:val="70"/>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0">
    <w:name w:val="main text Char"/>
    <w:link w:val="69"/>
    <w:qFormat/>
    <w:uiPriority w:val="0"/>
    <w:rPr>
      <w:rFonts w:ascii="Times New Roman" w:hAnsi="Times New Roman" w:eastAsia="Malgun Gothic"/>
      <w:lang w:val="en-GB" w:eastAsia="ko-KR"/>
    </w:rPr>
  </w:style>
  <w:style w:type="paragraph" w:customStyle="1" w:styleId="71">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2">
    <w:name w:val="样式 正文缩进d + 首行缩进:  2 字符 段前: 0.35 行"/>
    <w:basedOn w:val="8"/>
    <w:link w:val="73"/>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3">
    <w:name w:val="样式 正文缩进d + 首行缩进:  2 字符 段前: 0.35 行 Char"/>
    <w:link w:val="72"/>
    <w:qFormat/>
    <w:uiPriority w:val="0"/>
    <w:rPr>
      <w:rFonts w:ascii="Times New Roman" w:hAnsi="Times New Roman" w:eastAsia="楷体_GB2312"/>
      <w:snapToGrid w:val="0"/>
      <w:sz w:val="28"/>
    </w:rPr>
  </w:style>
  <w:style w:type="paragraph" w:customStyle="1" w:styleId="74">
    <w:name w:val="B2"/>
    <w:basedOn w:val="14"/>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75">
    <w:name w:val="B3"/>
    <w:basedOn w:val="7"/>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76">
    <w:name w:val="TAH Car"/>
    <w:link w:val="55"/>
    <w:qFormat/>
    <w:uiPriority w:val="0"/>
    <w:rPr>
      <w:rFonts w:ascii="Arial" w:hAnsi="Arial"/>
      <w:b/>
      <w:sz w:val="18"/>
      <w:lang w:val="en-GB" w:eastAsia="en-US"/>
    </w:rPr>
  </w:style>
  <w:style w:type="paragraph" w:customStyle="1" w:styleId="77">
    <w:name w:val="_Style 1"/>
    <w:basedOn w:val="1"/>
    <w:qFormat/>
    <w:uiPriority w:val="34"/>
    <w:pPr>
      <w:ind w:left="840" w:leftChars="400"/>
    </w:pPr>
  </w:style>
  <w:style w:type="paragraph" w:customStyle="1" w:styleId="78">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79">
    <w:name w:val="B1"/>
    <w:basedOn w:val="15"/>
    <w:link w:val="82"/>
    <w:qFormat/>
    <w:uiPriority w:val="99"/>
  </w:style>
  <w:style w:type="paragraph" w:customStyle="1" w:styleId="80">
    <w:name w:val="EQ"/>
    <w:basedOn w:val="1"/>
    <w:next w:val="1"/>
    <w:unhideWhenUsed/>
    <w:qFormat/>
    <w:uiPriority w:val="0"/>
    <w:pPr>
      <w:keepLines/>
      <w:tabs>
        <w:tab w:val="center" w:pos="4536"/>
        <w:tab w:val="right" w:pos="9072"/>
      </w:tabs>
    </w:pPr>
    <w:rPr>
      <w:sz w:val="24"/>
    </w:rPr>
  </w:style>
  <w:style w:type="paragraph" w:customStyle="1" w:styleId="81">
    <w:name w:val="List Paragraph2"/>
    <w:basedOn w:val="1"/>
    <w:qFormat/>
    <w:uiPriority w:val="99"/>
    <w:pPr>
      <w:ind w:firstLine="420" w:firstLineChars="200"/>
    </w:pPr>
  </w:style>
  <w:style w:type="character" w:customStyle="1" w:styleId="82">
    <w:name w:val="B1 (文字)"/>
    <w:link w:val="79"/>
    <w:qFormat/>
    <w:locked/>
    <w:uiPriority w:val="99"/>
    <w:rPr>
      <w:rFonts w:ascii="Calibri" w:hAnsi="Calibri" w:eastAsiaTheme="minorEastAsia"/>
      <w:sz w:val="22"/>
      <w:szCs w:val="22"/>
    </w:rPr>
  </w:style>
  <w:style w:type="paragraph" w:customStyle="1" w:styleId="83">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4">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85">
    <w:name w:val="列出段落2"/>
    <w:basedOn w:val="1"/>
    <w:qFormat/>
    <w:uiPriority w:val="99"/>
    <w:pPr>
      <w:ind w:firstLine="420" w:firstLineChars="200"/>
    </w:pPr>
  </w:style>
  <w:style w:type="paragraph" w:customStyle="1" w:styleId="86">
    <w:name w:val="3GPP Agreements"/>
    <w:basedOn w:val="1"/>
    <w:qFormat/>
    <w:uiPriority w:val="0"/>
    <w:pPr>
      <w:numPr>
        <w:ilvl w:val="0"/>
        <w:numId w:val="2"/>
      </w:numPr>
      <w:spacing w:before="60" w:after="60"/>
      <w:jc w:val="both"/>
    </w:pPr>
  </w:style>
  <w:style w:type="character" w:customStyle="1" w:styleId="87">
    <w:name w:val="normaltextrun"/>
    <w:qFormat/>
    <w:uiPriority w:val="0"/>
  </w:style>
  <w:style w:type="character" w:customStyle="1" w:styleId="88">
    <w:name w:val="spellingerror"/>
    <w:qFormat/>
    <w:uiPriority w:val="0"/>
  </w:style>
  <w:style w:type="paragraph" w:styleId="89">
    <w:name w:val="List Paragraph"/>
    <w:basedOn w:val="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0">
    <w:name w:val="10"/>
    <w:basedOn w:val="25"/>
    <w:qFormat/>
    <w:uiPriority w:val="0"/>
    <w:rPr>
      <w:rFonts w:hint="default" w:ascii="Times New Roman" w:hAnsi="Times New Roman" w:cs="Times New Roman"/>
    </w:rPr>
  </w:style>
  <w:style w:type="character" w:customStyle="1" w:styleId="91">
    <w:name w:val="15"/>
    <w:basedOn w:val="25"/>
    <w:qFormat/>
    <w:uiPriority w:val="0"/>
    <w:rPr>
      <w:rFonts w:hint="default" w:ascii="Times New Roman" w:hAnsi="Times New Roman" w:cs="Times New Roman"/>
    </w:rPr>
  </w:style>
  <w:style w:type="paragraph" w:customStyle="1" w:styleId="92">
    <w:name w:val="TAL+B1"/>
    <w:basedOn w:val="57"/>
    <w:qFormat/>
    <w:uiPriority w:val="0"/>
    <w:pPr>
      <w:widowControl w:val="0"/>
      <w:spacing w:before="100" w:beforeAutospacing="1" w:line="240" w:lineRule="auto"/>
      <w:ind w:left="284"/>
    </w:pPr>
    <w:rPr>
      <w:rFonts w:eastAsia="Times New Roman"/>
      <w:szCs w:val="18"/>
    </w:rPr>
  </w:style>
  <w:style w:type="paragraph" w:customStyle="1" w:styleId="93">
    <w:name w:val="TAL+B2"/>
    <w:basedOn w:val="92"/>
    <w:qFormat/>
    <w:uiPriority w:val="0"/>
    <w:pPr>
      <w:ind w:left="568"/>
    </w:pPr>
  </w:style>
  <w:style w:type="paragraph" w:customStyle="1" w:styleId="94">
    <w:name w:val="TAL+B3"/>
    <w:basedOn w:val="93"/>
    <w:qFormat/>
    <w:uiPriority w:val="0"/>
    <w:pPr>
      <w:ind w:left="852"/>
    </w:pPr>
  </w:style>
  <w:style w:type="paragraph" w:customStyle="1" w:styleId="95">
    <w:name w:val="TAL+B4"/>
    <w:basedOn w:val="94"/>
    <w:qFormat/>
    <w:uiPriority w:val="0"/>
    <w:pPr>
      <w:ind w:left="1136"/>
    </w:pPr>
  </w:style>
  <w:style w:type="paragraph" w:customStyle="1" w:styleId="96">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97">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98">
    <w:name w:val="EmailDiscussion"/>
    <w:basedOn w:val="1"/>
    <w:next w:val="97"/>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99">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0">
    <w:name w:val="网格型1"/>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CE19EB-D4C3-4E1F-AC1E-BCAD6E3A21CB}">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9</Pages>
  <Words>1975</Words>
  <Characters>11263</Characters>
  <Lines>93</Lines>
  <Paragraphs>26</Paragraphs>
  <TotalTime>64</TotalTime>
  <ScaleCrop>false</ScaleCrop>
  <LinksUpToDate>false</LinksUpToDate>
  <CharactersWithSpaces>13212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2018-09-25T08:33:00Z</dcterms:created>
  <dc:creator>ZTE</dc:creator>
  <cp:lastModifiedBy>10285891</cp:lastModifiedBy>
  <dcterms:modified xsi:type="dcterms:W3CDTF">2022-04-22T07:03:27Z</dcterms:modified>
  <cp:revision>132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